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91"/>
        <w:shd w:val="clear" w:color="auto" w:fill="auto"/>
        <w:spacing w:lineRule="auto" w:line="240"/>
        <w:jc w:val="center"/>
        <w:rPr>
          <w:rFonts w:ascii="Arial" w:hAnsi="Arial" w:cs="Arial"/>
          <w:sz w:val="22"/>
          <w:szCs w:val="22"/>
        </w:rPr>
      </w:pPr>
      <w:r>
        <w:rPr>
          <w:rFonts w:cs="Arial" w:ascii="Arial" w:hAnsi="Arial"/>
          <w:sz w:val="22"/>
          <w:szCs w:val="22"/>
        </w:rPr>
        <w:t>Prekių atitikties techninės specifikacijos reikalavimams palyginamoji lentelė</w:t>
      </w:r>
    </w:p>
    <w:p>
      <w:pPr>
        <w:pStyle w:val="Bodytext91"/>
        <w:shd w:val="clear" w:color="auto" w:fill="auto"/>
        <w:spacing w:lineRule="auto" w:line="240"/>
        <w:jc w:val="center"/>
        <w:rPr>
          <w:rFonts w:ascii="Arial" w:hAnsi="Arial" w:cs="Arial"/>
          <w:sz w:val="22"/>
          <w:szCs w:val="22"/>
        </w:rPr>
      </w:pPr>
      <w:r>
        <w:rPr>
          <w:rFonts w:cs="Arial" w:ascii="Arial" w:hAnsi="Arial"/>
          <w:sz w:val="22"/>
          <w:szCs w:val="22"/>
        </w:rPr>
      </w:r>
    </w:p>
    <w:tbl>
      <w:tblPr>
        <w:tblStyle w:val="Lentelstinklelis"/>
        <w:tblW w:w="1459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655"/>
        <w:gridCol w:w="2741"/>
        <w:gridCol w:w="5246"/>
        <w:gridCol w:w="5953"/>
      </w:tblGrid>
      <w:tr>
        <w:trPr/>
        <w:tc>
          <w:tcPr>
            <w:tcW w:w="655" w:type="dxa"/>
            <w:tcBorders/>
          </w:tcPr>
          <w:p>
            <w:pPr>
              <w:pStyle w:val="Normal"/>
              <w:widowControl/>
              <w:suppressAutoHyphens w:val="true"/>
              <w:spacing w:beforeAutospacing="1" w:after="0"/>
              <w:jc w:val="center"/>
              <w:rPr>
                <w:rFonts w:ascii="Arial" w:hAnsi="Arial" w:cs="Arial"/>
                <w:b/>
                <w:bCs/>
              </w:rPr>
            </w:pPr>
            <w:r>
              <w:rPr>
                <w:rFonts w:cs="Arial" w:ascii="Arial" w:hAnsi="Arial"/>
                <w:b/>
                <w:bCs/>
                <w:sz w:val="22"/>
                <w:szCs w:val="22"/>
                <w:lang w:val="lt-LT" w:bidi="ar-SA"/>
              </w:rPr>
              <w:t>Eil. Nr.</w:t>
            </w:r>
          </w:p>
        </w:tc>
        <w:tc>
          <w:tcPr>
            <w:tcW w:w="2741" w:type="dxa"/>
            <w:tcBorders/>
          </w:tcPr>
          <w:p>
            <w:pPr>
              <w:pStyle w:val="Normal"/>
              <w:widowControl/>
              <w:suppressAutoHyphens w:val="true"/>
              <w:spacing w:beforeAutospacing="1" w:after="0"/>
              <w:jc w:val="center"/>
              <w:rPr>
                <w:rFonts w:ascii="Arial" w:hAnsi="Arial" w:cs="Arial"/>
                <w:b/>
                <w:bCs/>
              </w:rPr>
            </w:pPr>
            <w:r>
              <w:rPr>
                <w:rFonts w:cs="Arial" w:ascii="Arial" w:hAnsi="Arial"/>
                <w:b/>
                <w:bCs/>
                <w:sz w:val="22"/>
                <w:szCs w:val="22"/>
                <w:lang w:val="lt-LT" w:bidi="ar-SA"/>
              </w:rPr>
              <w:t>Parametras</w:t>
            </w:r>
          </w:p>
        </w:tc>
        <w:tc>
          <w:tcPr>
            <w:tcW w:w="5246" w:type="dxa"/>
            <w:tcBorders/>
          </w:tcPr>
          <w:p>
            <w:pPr>
              <w:pStyle w:val="Normal"/>
              <w:widowControl/>
              <w:suppressAutoHyphens w:val="true"/>
              <w:spacing w:before="0" w:after="0"/>
              <w:ind w:hanging="109" w:left="1351" w:right="1636"/>
              <w:jc w:val="center"/>
              <w:rPr>
                <w:rFonts w:ascii="Arial" w:hAnsi="Arial" w:cs="Arial"/>
                <w:b/>
                <w:bCs/>
                <w:lang w:eastAsia="ar-SA"/>
              </w:rPr>
            </w:pPr>
            <w:r>
              <w:rPr>
                <w:rFonts w:cs="Arial" w:ascii="Arial" w:hAnsi="Arial"/>
                <w:b/>
                <w:bCs/>
                <w:sz w:val="22"/>
                <w:szCs w:val="22"/>
                <w:lang w:val="lt-LT" w:bidi="ar-SA"/>
              </w:rPr>
              <w:t>Minimali reikšmė</w:t>
            </w:r>
          </w:p>
        </w:tc>
        <w:tc>
          <w:tcPr>
            <w:tcW w:w="5953" w:type="dxa"/>
            <w:tcBorders/>
          </w:tcPr>
          <w:p>
            <w:pPr>
              <w:pStyle w:val="Normal"/>
              <w:widowControl/>
              <w:suppressAutoHyphens w:val="true"/>
              <w:spacing w:before="0" w:after="0"/>
              <w:jc w:val="center"/>
              <w:rPr>
                <w:rFonts w:ascii="Arial" w:hAnsi="Arial" w:cs="Arial"/>
                <w:color w:val="FF0000"/>
              </w:rPr>
            </w:pPr>
            <w:r>
              <w:rPr>
                <w:rFonts w:cs="Arial" w:ascii="Arial" w:hAnsi="Arial"/>
                <w:b/>
                <w:bCs/>
                <w:sz w:val="22"/>
                <w:szCs w:val="22"/>
                <w:lang w:val="lt-LT" w:bidi="ar-SA"/>
              </w:rPr>
              <w:t>Atitikimas reikalavimams</w:t>
            </w:r>
          </w:p>
          <w:p>
            <w:pPr>
              <w:pStyle w:val="Normal"/>
              <w:widowControl/>
              <w:suppressAutoHyphens w:val="true"/>
              <w:spacing w:before="0" w:after="0"/>
              <w:jc w:val="center"/>
              <w:rPr>
                <w:rFonts w:ascii="Arial" w:hAnsi="Arial" w:cs="Arial"/>
                <w:b/>
                <w:bCs/>
              </w:rPr>
            </w:pPr>
            <w:r>
              <w:rPr>
                <w:rFonts w:cs="Arial" w:ascii="Arial" w:hAnsi="Arial"/>
                <w:b/>
                <w:bCs/>
              </w:rPr>
            </w:r>
          </w:p>
        </w:tc>
      </w:tr>
      <w:tr>
        <w:trPr/>
        <w:tc>
          <w:tcPr>
            <w:tcW w:w="655" w:type="dxa"/>
            <w:tcBorders/>
          </w:tcPr>
          <w:p>
            <w:pPr>
              <w:pStyle w:val="Normal"/>
              <w:widowControl/>
              <w:suppressAutoHyphens w:val="true"/>
              <w:spacing w:beforeAutospacing="1" w:after="0"/>
              <w:jc w:val="both"/>
              <w:rPr>
                <w:rFonts w:ascii="Arial" w:hAnsi="Arial" w:cs="Arial"/>
              </w:rPr>
            </w:pPr>
            <w:r>
              <w:rPr>
                <w:rFonts w:cs="Arial" w:ascii="Arial" w:hAnsi="Arial"/>
                <w:sz w:val="22"/>
                <w:szCs w:val="22"/>
                <w:lang w:val="lt-LT" w:bidi="ar-SA"/>
              </w:rPr>
              <w:t>1</w:t>
            </w:r>
          </w:p>
        </w:tc>
        <w:tc>
          <w:tcPr>
            <w:tcW w:w="2741" w:type="dxa"/>
            <w:tcBorders/>
          </w:tcPr>
          <w:p>
            <w:pPr>
              <w:pStyle w:val="Normal"/>
              <w:widowControl/>
              <w:suppressAutoHyphens w:val="true"/>
              <w:spacing w:before="0" w:after="0"/>
              <w:ind w:hanging="109" w:left="109"/>
              <w:jc w:val="left"/>
              <w:rPr>
                <w:rFonts w:ascii="Arial" w:hAnsi="Arial" w:cs="Arial"/>
                <w:lang w:eastAsia="ru-RU"/>
              </w:rPr>
            </w:pPr>
            <w:r>
              <w:rPr>
                <w:rFonts w:cs="Arial" w:ascii="Arial" w:hAnsi="Arial"/>
                <w:sz w:val="22"/>
                <w:szCs w:val="22"/>
                <w:lang w:val="lt-LT" w:bidi="ar-SA"/>
              </w:rPr>
              <w:t>Modelio pavadinimas</w:t>
            </w:r>
          </w:p>
        </w:tc>
        <w:tc>
          <w:tcPr>
            <w:tcW w:w="5246" w:type="dxa"/>
            <w:tcBorders/>
            <w:vAlign w:val="center"/>
          </w:tcPr>
          <w:p>
            <w:pPr>
              <w:pStyle w:val="Normal"/>
              <w:widowControl/>
              <w:suppressAutoHyphens w:val="true"/>
              <w:spacing w:beforeAutospacing="1" w:after="0"/>
              <w:jc w:val="both"/>
              <w:rPr>
                <w:rFonts w:ascii="Arial" w:hAnsi="Arial" w:cs="Arial"/>
              </w:rPr>
            </w:pPr>
            <w:r>
              <w:rPr>
                <w:rFonts w:cs="Arial" w:ascii="Arial" w:hAnsi="Arial"/>
                <w:sz w:val="22"/>
                <w:szCs w:val="22"/>
                <w:lang w:val="lt-LT" w:bidi="ar-SA"/>
              </w:rPr>
              <w:t>Nurodyti modelio pavadinimą.</w:t>
            </w:r>
          </w:p>
        </w:tc>
        <w:tc>
          <w:tcPr>
            <w:tcW w:w="5953" w:type="dxa"/>
            <w:tcBorders/>
          </w:tcPr>
          <w:p>
            <w:pPr>
              <w:pStyle w:val="Normal"/>
              <w:widowControl/>
              <w:suppressAutoHyphens w:val="true"/>
              <w:spacing w:beforeAutospacing="1" w:after="0"/>
              <w:jc w:val="center"/>
              <w:rPr>
                <w:rFonts w:ascii="Arial" w:hAnsi="Arial" w:cs="Arial"/>
              </w:rPr>
            </w:pPr>
            <w:r>
              <w:rPr>
                <w:rFonts w:cs="Arial" w:ascii="Arial" w:hAnsi="Arial"/>
                <w:i/>
                <w:iCs/>
                <w:color w:val="FF0000"/>
                <w:sz w:val="22"/>
                <w:szCs w:val="22"/>
                <w:lang w:val="lt-LT" w:bidi="ar-SA"/>
              </w:rPr>
              <w:t>[Įrašo tiekėjas]</w:t>
            </w:r>
          </w:p>
        </w:tc>
      </w:tr>
      <w:tr>
        <w:trPr/>
        <w:tc>
          <w:tcPr>
            <w:tcW w:w="655" w:type="dxa"/>
            <w:tcBorders/>
          </w:tcPr>
          <w:p>
            <w:pPr>
              <w:pStyle w:val="Normal"/>
              <w:widowControl/>
              <w:suppressAutoHyphens w:val="true"/>
              <w:spacing w:beforeAutospacing="1" w:after="0"/>
              <w:jc w:val="both"/>
              <w:rPr>
                <w:rFonts w:ascii="Arial" w:hAnsi="Arial" w:cs="Arial"/>
              </w:rPr>
            </w:pPr>
            <w:r>
              <w:rPr>
                <w:rFonts w:cs="Arial" w:ascii="Arial" w:hAnsi="Arial"/>
                <w:sz w:val="22"/>
                <w:szCs w:val="22"/>
                <w:lang w:val="lt-LT" w:bidi="ar-SA"/>
              </w:rPr>
              <w:t>2</w:t>
            </w:r>
          </w:p>
        </w:tc>
        <w:tc>
          <w:tcPr>
            <w:tcW w:w="2741" w:type="dxa"/>
            <w:tcBorders/>
          </w:tcPr>
          <w:p>
            <w:pPr>
              <w:pStyle w:val="Normal"/>
              <w:widowControl/>
              <w:suppressAutoHyphens w:val="true"/>
              <w:spacing w:beforeAutospacing="1" w:after="0"/>
              <w:jc w:val="both"/>
              <w:rPr>
                <w:rFonts w:ascii="Arial" w:hAnsi="Arial" w:cs="Arial"/>
              </w:rPr>
            </w:pPr>
            <w:r>
              <w:rPr>
                <w:rFonts w:cs="Arial" w:ascii="Arial" w:hAnsi="Arial"/>
                <w:sz w:val="22"/>
                <w:szCs w:val="22"/>
                <w:lang w:val="lt-LT" w:bidi="ar-SA"/>
              </w:rPr>
              <w:t>Gamintojas</w:t>
            </w:r>
          </w:p>
        </w:tc>
        <w:tc>
          <w:tcPr>
            <w:tcW w:w="5246" w:type="dxa"/>
            <w:tcBorders/>
            <w:vAlign w:val="center"/>
          </w:tcPr>
          <w:p>
            <w:pPr>
              <w:pStyle w:val="Normal"/>
              <w:widowControl/>
              <w:suppressAutoHyphens w:val="true"/>
              <w:spacing w:beforeAutospacing="1" w:after="0"/>
              <w:jc w:val="both"/>
              <w:rPr>
                <w:rFonts w:ascii="Arial" w:hAnsi="Arial" w:cs="Arial"/>
              </w:rPr>
            </w:pPr>
            <w:r>
              <w:rPr>
                <w:rFonts w:cs="Arial" w:ascii="Arial" w:hAnsi="Arial"/>
                <w:sz w:val="22"/>
                <w:szCs w:val="22"/>
                <w:lang w:val="lt-LT" w:bidi="ar-SA"/>
              </w:rPr>
              <w:t>Nurodyti gamintojo ir gamintojo kodą.</w:t>
            </w:r>
          </w:p>
        </w:tc>
        <w:tc>
          <w:tcPr>
            <w:tcW w:w="5953" w:type="dxa"/>
            <w:tcBorders/>
          </w:tcPr>
          <w:p>
            <w:pPr>
              <w:pStyle w:val="Normal"/>
              <w:widowControl/>
              <w:suppressAutoHyphens w:val="true"/>
              <w:spacing w:beforeAutospacing="1" w:after="0"/>
              <w:jc w:val="center"/>
              <w:rPr>
                <w:rFonts w:ascii="Arial" w:hAnsi="Arial" w:cs="Arial"/>
              </w:rPr>
            </w:pPr>
            <w:r>
              <w:rPr>
                <w:rFonts w:cs="Arial" w:ascii="Arial" w:hAnsi="Arial"/>
                <w:i/>
                <w:iCs/>
                <w:color w:val="FF0000"/>
                <w:sz w:val="22"/>
                <w:szCs w:val="22"/>
                <w:lang w:val="lt-LT" w:bidi="ar-SA"/>
              </w:rPr>
              <w:t>[Įrašo tiekėjas]</w:t>
            </w:r>
          </w:p>
        </w:tc>
      </w:tr>
      <w:tr>
        <w:trPr/>
        <w:tc>
          <w:tcPr>
            <w:tcW w:w="655" w:type="dxa"/>
            <w:vMerge w:val="restart"/>
            <w:tcBorders/>
          </w:tcPr>
          <w:p>
            <w:pPr>
              <w:pStyle w:val="Normal"/>
              <w:widowControl/>
              <w:suppressAutoHyphens w:val="true"/>
              <w:spacing w:beforeAutospacing="1" w:after="0"/>
              <w:jc w:val="both"/>
              <w:rPr>
                <w:rFonts w:ascii="Arial" w:hAnsi="Arial" w:cs="Arial"/>
              </w:rPr>
            </w:pPr>
            <w:r>
              <w:rPr>
                <w:rFonts w:cs="Arial" w:ascii="Arial" w:hAnsi="Arial"/>
                <w:sz w:val="22"/>
                <w:szCs w:val="22"/>
                <w:lang w:val="lt-LT" w:bidi="ar-SA"/>
              </w:rPr>
              <w:t>3</w:t>
            </w:r>
          </w:p>
        </w:tc>
        <w:tc>
          <w:tcPr>
            <w:tcW w:w="2741" w:type="dxa"/>
            <w:vMerge w:val="restart"/>
            <w:tcBorders/>
          </w:tcPr>
          <w:p>
            <w:pPr>
              <w:pStyle w:val="Normal"/>
              <w:widowControl/>
              <w:suppressAutoHyphens w:val="true"/>
              <w:spacing w:beforeAutospacing="1" w:after="0"/>
              <w:jc w:val="both"/>
              <w:rPr>
                <w:rFonts w:ascii="Arial" w:hAnsi="Arial" w:cs="Arial"/>
              </w:rPr>
            </w:pPr>
            <w:r>
              <w:rPr>
                <w:rFonts w:cs="Arial" w:ascii="Arial" w:hAnsi="Arial"/>
                <w:bCs/>
                <w:sz w:val="22"/>
                <w:szCs w:val="22"/>
                <w:lang w:val="lt-LT" w:bidi="ar-SA"/>
              </w:rPr>
              <w:t>GPS imtuvas</w:t>
            </w:r>
          </w:p>
          <w:p>
            <w:pPr>
              <w:pStyle w:val="Normal"/>
              <w:widowControl/>
              <w:suppressAutoHyphens w:val="true"/>
              <w:spacing w:before="0" w:after="0"/>
              <w:jc w:val="left"/>
              <w:rPr>
                <w:rFonts w:ascii="Arial" w:hAnsi="Arial" w:cs="Arial"/>
              </w:rPr>
            </w:pPr>
            <w:r>
              <w:rPr>
                <w:rFonts w:cs="Arial" w:ascii="Arial" w:hAnsi="Arial"/>
              </w:rPr>
            </w:r>
          </w:p>
        </w:tc>
        <w:tc>
          <w:tcPr>
            <w:tcW w:w="5246" w:type="dxa"/>
            <w:tcBorders/>
            <w:vAlign w:val="center"/>
          </w:tcPr>
          <w:p>
            <w:pPr>
              <w:pStyle w:val="Normal"/>
              <w:widowControl/>
              <w:suppressAutoHyphens w:val="true"/>
              <w:spacing w:beforeAutospacing="1" w:after="0"/>
              <w:jc w:val="both"/>
              <w:rPr>
                <w:rFonts w:ascii="Arial" w:hAnsi="Arial" w:cs="Arial"/>
              </w:rPr>
            </w:pPr>
            <w:r>
              <w:rPr>
                <w:rFonts w:cs="Arial" w:ascii="Arial" w:hAnsi="Arial"/>
                <w:bCs/>
                <w:sz w:val="22"/>
                <w:szCs w:val="22"/>
                <w:lang w:val="lt-LT" w:bidi="ar-SA"/>
              </w:rPr>
              <w:t>Nešiojamas „viskas viename“ (angl. All-in-one) tipo GNSS RTK imtuvas, skirtas didelio tikslumo matavimams realiu laiku.</w:t>
              <w:br/>
              <w:t xml:space="preserve">• </w:t>
            </w:r>
            <w:r>
              <w:rPr>
                <w:rFonts w:cs="Arial" w:ascii="Arial" w:hAnsi="Arial"/>
                <w:b/>
                <w:sz w:val="22"/>
                <w:szCs w:val="22"/>
                <w:lang w:val="lt-LT" w:bidi="ar-SA"/>
              </w:rPr>
              <w:t>SVARBU</w:t>
            </w:r>
            <w:r>
              <w:rPr>
                <w:rFonts w:cs="Arial" w:ascii="Arial" w:hAnsi="Arial"/>
                <w:bCs/>
                <w:sz w:val="22"/>
                <w:szCs w:val="22"/>
                <w:lang w:val="lt-LT" w:bidi="ar-SA"/>
              </w:rPr>
              <w:t xml:space="preserve">: Duomenų kaupiklis (valdiklis / planšetė) neperkamas. Imtuvas privalo pilnavertiškai veikti susiejus su naudotojo turimu išmaniuoju įrenginiu. Gamintojas privalo suteikti </w:t>
            </w:r>
            <w:r>
              <w:rPr>
                <w:rFonts w:cs="Arial" w:ascii="Arial" w:hAnsi="Arial"/>
                <w:b/>
                <w:sz w:val="22"/>
                <w:szCs w:val="22"/>
                <w:lang w:val="lt-LT" w:bidi="ar-SA"/>
              </w:rPr>
              <w:t>Neterminuotą licenciją</w:t>
            </w:r>
            <w:r>
              <w:rPr>
                <w:rFonts w:cs="Arial" w:ascii="Arial" w:hAnsi="Arial"/>
                <w:bCs/>
                <w:sz w:val="22"/>
                <w:szCs w:val="22"/>
                <w:lang w:val="lt-LT" w:bidi="ar-SA"/>
              </w:rPr>
              <w:t>: pačiam įrenginiui, jo tikslumui ir jo vidiniam RTK skaičiavimo varikliui privalo būti suteikiama neterminuota (nuolatinė) veikimo licencija be jokių papildomų prenumeratos ar aktyvacijos mokesčių.</w:t>
            </w:r>
          </w:p>
        </w:tc>
        <w:tc>
          <w:tcPr>
            <w:tcW w:w="5953" w:type="dxa"/>
            <w:tcBorders/>
          </w:tcPr>
          <w:p>
            <w:pPr>
              <w:pStyle w:val="Normal"/>
              <w:widowControl/>
              <w:suppressAutoHyphens w:val="true"/>
              <w:spacing w:beforeAutospacing="1" w:after="0"/>
              <w:jc w:val="center"/>
              <w:rPr>
                <w:rFonts w:ascii="Arial" w:hAnsi="Arial" w:cs="Arial"/>
              </w:rPr>
            </w:pPr>
            <w:r>
              <w:rPr>
                <w:rFonts w:cs="Arial" w:ascii="Arial" w:hAnsi="Arial"/>
                <w:i/>
                <w:iCs/>
                <w:color w:val="FF0000"/>
                <w:sz w:val="22"/>
                <w:szCs w:val="22"/>
                <w:lang w:val="lt-LT" w:bidi="ar-SA"/>
              </w:rPr>
              <w:t>[Įrašo tiekėjas]</w:t>
            </w:r>
          </w:p>
        </w:tc>
      </w:tr>
      <w:tr>
        <w:trPr/>
        <w:tc>
          <w:tcPr>
            <w:tcW w:w="655" w:type="dxa"/>
            <w:vMerge w:val="continue"/>
            <w:tcBorders/>
          </w:tcPr>
          <w:p>
            <w:pPr>
              <w:pStyle w:val="Normal"/>
              <w:widowControl/>
              <w:suppressAutoHyphens w:val="true"/>
              <w:spacing w:beforeAutospacing="1" w:after="0"/>
              <w:jc w:val="both"/>
              <w:rPr>
                <w:rFonts w:ascii="Arial" w:hAnsi="Arial" w:cs="Arial"/>
              </w:rPr>
            </w:pPr>
            <w:r>
              <w:rPr>
                <w:rFonts w:cs="Arial" w:ascii="Arial" w:hAnsi="Arial"/>
              </w:rPr>
            </w:r>
          </w:p>
        </w:tc>
        <w:tc>
          <w:tcPr>
            <w:tcW w:w="2741" w:type="dxa"/>
            <w:vMerge w:val="continue"/>
            <w:tcBorders/>
          </w:tcPr>
          <w:p>
            <w:pPr>
              <w:pStyle w:val="Normal"/>
              <w:widowControl/>
              <w:suppressAutoHyphens w:val="true"/>
              <w:spacing w:beforeAutospacing="1" w:after="0"/>
              <w:jc w:val="both"/>
              <w:rPr>
                <w:rFonts w:ascii="Arial" w:hAnsi="Arial" w:cs="Arial"/>
              </w:rPr>
            </w:pPr>
            <w:r>
              <w:rPr>
                <w:rFonts w:cs="Arial" w:ascii="Arial" w:hAnsi="Arial"/>
              </w:rPr>
            </w:r>
          </w:p>
        </w:tc>
        <w:tc>
          <w:tcPr>
            <w:tcW w:w="5246" w:type="dxa"/>
            <w:tcBorders/>
          </w:tcPr>
          <w:p>
            <w:pPr>
              <w:pStyle w:val="Normal"/>
              <w:widowControl/>
              <w:suppressAutoHyphens w:val="true"/>
              <w:spacing w:lineRule="atLeast" w:line="233" w:before="0" w:after="0"/>
              <w:jc w:val="both"/>
              <w:rPr>
                <w:rFonts w:ascii="Arial" w:hAnsi="Arial" w:cs="Arial"/>
              </w:rPr>
            </w:pPr>
            <w:r>
              <w:rPr>
                <w:rFonts w:cs="Arial" w:ascii="Arial" w:hAnsi="Arial"/>
                <w:bCs/>
                <w:sz w:val="22"/>
                <w:szCs w:val="22"/>
                <w:lang w:val="lt-LT" w:bidi="ar-SA"/>
              </w:rPr>
              <w:t>turi būti išorinis, statomas ≥ 2 m aukštyje ant kartelės su papildomu laikikliu SM-T575 planšetei arba matavimams pritaikyta kuprinė su atitinkamais laikikliais GNSS įrenginiui.</w:t>
            </w:r>
          </w:p>
        </w:tc>
        <w:tc>
          <w:tcPr>
            <w:tcW w:w="5953" w:type="dxa"/>
            <w:tcBorders/>
          </w:tcPr>
          <w:p>
            <w:pPr>
              <w:pStyle w:val="Normal"/>
              <w:widowControl/>
              <w:suppressAutoHyphens w:val="true"/>
              <w:spacing w:beforeAutospacing="1" w:after="0"/>
              <w:jc w:val="center"/>
              <w:rPr>
                <w:rFonts w:ascii="Arial" w:hAnsi="Arial" w:cs="Arial"/>
                <w:i/>
                <w:i/>
                <w:iCs/>
              </w:rPr>
            </w:pPr>
            <w:r>
              <w:rPr>
                <w:rFonts w:cs="Arial" w:ascii="Arial" w:hAnsi="Arial"/>
                <w:i/>
                <w:iCs/>
                <w:color w:val="FF0000"/>
                <w:sz w:val="22"/>
                <w:szCs w:val="22"/>
                <w:lang w:val="lt-LT" w:bidi="ar-SA"/>
              </w:rPr>
              <w:t>[Įrašo tiekėjas]</w:t>
            </w:r>
          </w:p>
        </w:tc>
      </w:tr>
      <w:tr>
        <w:trPr/>
        <w:tc>
          <w:tcPr>
            <w:tcW w:w="655" w:type="dxa"/>
            <w:vMerge w:val="continue"/>
            <w:tcBorders/>
          </w:tcPr>
          <w:p>
            <w:pPr>
              <w:pStyle w:val="Normal"/>
              <w:widowControl/>
              <w:suppressAutoHyphens w:val="true"/>
              <w:spacing w:beforeAutospacing="1" w:after="0"/>
              <w:jc w:val="both"/>
              <w:rPr>
                <w:rFonts w:ascii="Arial" w:hAnsi="Arial" w:cs="Arial"/>
              </w:rPr>
            </w:pPr>
            <w:r>
              <w:rPr>
                <w:rFonts w:cs="Arial" w:ascii="Arial" w:hAnsi="Arial"/>
              </w:rPr>
            </w:r>
          </w:p>
        </w:tc>
        <w:tc>
          <w:tcPr>
            <w:tcW w:w="2741" w:type="dxa"/>
            <w:vMerge w:val="continue"/>
            <w:tcBorders/>
          </w:tcPr>
          <w:p>
            <w:pPr>
              <w:pStyle w:val="Normal"/>
              <w:widowControl/>
              <w:suppressAutoHyphens w:val="true"/>
              <w:spacing w:beforeAutospacing="1" w:after="0"/>
              <w:jc w:val="both"/>
              <w:rPr>
                <w:rFonts w:ascii="Arial" w:hAnsi="Arial" w:cs="Arial"/>
              </w:rPr>
            </w:pPr>
            <w:r>
              <w:rPr>
                <w:rFonts w:cs="Arial" w:ascii="Arial" w:hAnsi="Arial"/>
              </w:rPr>
            </w:r>
          </w:p>
        </w:tc>
        <w:tc>
          <w:tcPr>
            <w:tcW w:w="5246" w:type="dxa"/>
            <w:tcBorders/>
          </w:tcPr>
          <w:p>
            <w:pPr>
              <w:pStyle w:val="Normal"/>
              <w:widowControl/>
              <w:suppressAutoHyphens w:val="true"/>
              <w:spacing w:lineRule="atLeast" w:line="233" w:before="0" w:after="0"/>
              <w:jc w:val="both"/>
              <w:rPr>
                <w:rFonts w:ascii="Arial" w:hAnsi="Arial" w:cs="Arial"/>
              </w:rPr>
            </w:pPr>
            <w:r>
              <w:rPr>
                <w:rFonts w:cs="Arial" w:ascii="Arial" w:hAnsi="Arial"/>
                <w:sz w:val="22"/>
                <w:szCs w:val="22"/>
                <w:lang w:val="lt-LT" w:bidi="ar-SA"/>
              </w:rPr>
              <w:t>Kelių dažnių ir kelių palydovinių sistemų (angl. Multi-frequency, multi-constellation) imtuvas..</w:t>
              <w:br/>
              <w:t>• Imtuvas privalo vienu metu palaikyti šias palydovines sistemas ir dažnius: GPS: L1, L2, L5, GALILEO: E1, E5, E6, BeiDou: B1, B2, B3, SBAS: L1, L5.</w:t>
            </w:r>
          </w:p>
        </w:tc>
        <w:tc>
          <w:tcPr>
            <w:tcW w:w="5953" w:type="dxa"/>
            <w:tcBorders/>
          </w:tcPr>
          <w:p>
            <w:pPr>
              <w:pStyle w:val="Normal"/>
              <w:widowControl/>
              <w:suppressAutoHyphens w:val="true"/>
              <w:spacing w:beforeAutospacing="1" w:after="0"/>
              <w:jc w:val="center"/>
              <w:rPr>
                <w:sz w:val="22"/>
                <w:szCs w:val="22"/>
                <w:lang w:val="lt-LT" w:bidi="ar-SA"/>
              </w:rPr>
            </w:pPr>
            <w:r>
              <w:rPr>
                <w:rFonts w:cs="Arial" w:ascii="Arial" w:hAnsi="Arial"/>
                <w:i/>
                <w:iCs/>
                <w:color w:val="FF0000"/>
                <w:sz w:val="22"/>
                <w:szCs w:val="22"/>
                <w:lang w:val="lt-LT" w:bidi="ar-SA"/>
              </w:rPr>
              <w:t>[Įrašo tiekėjas]</w:t>
            </w:r>
          </w:p>
        </w:tc>
      </w:tr>
      <w:tr>
        <w:trPr/>
        <w:tc>
          <w:tcPr>
            <w:tcW w:w="655" w:type="dxa"/>
            <w:vMerge w:val="continue"/>
            <w:tcBorders/>
          </w:tcPr>
          <w:p>
            <w:pPr>
              <w:pStyle w:val="Normal"/>
              <w:widowControl/>
              <w:suppressAutoHyphens w:val="true"/>
              <w:spacing w:beforeAutospacing="1" w:after="0"/>
              <w:jc w:val="both"/>
              <w:rPr>
                <w:rFonts w:ascii="Arial" w:hAnsi="Arial" w:cs="Arial"/>
              </w:rPr>
            </w:pPr>
            <w:r>
              <w:rPr>
                <w:rFonts w:cs="Arial" w:ascii="Arial" w:hAnsi="Arial"/>
              </w:rPr>
            </w:r>
          </w:p>
        </w:tc>
        <w:tc>
          <w:tcPr>
            <w:tcW w:w="2741" w:type="dxa"/>
            <w:vMerge w:val="continue"/>
            <w:tcBorders/>
          </w:tcPr>
          <w:p>
            <w:pPr>
              <w:pStyle w:val="Normal"/>
              <w:widowControl/>
              <w:suppressAutoHyphens w:val="true"/>
              <w:spacing w:beforeAutospacing="1" w:after="0"/>
              <w:jc w:val="both"/>
              <w:rPr>
                <w:rFonts w:ascii="Arial" w:hAnsi="Arial" w:cs="Arial"/>
              </w:rPr>
            </w:pPr>
            <w:r>
              <w:rPr>
                <w:rFonts w:cs="Arial" w:ascii="Arial" w:hAnsi="Arial"/>
              </w:rPr>
            </w:r>
          </w:p>
        </w:tc>
        <w:tc>
          <w:tcPr>
            <w:tcW w:w="5246" w:type="dxa"/>
            <w:tcBorders/>
          </w:tcPr>
          <w:p>
            <w:pPr>
              <w:pStyle w:val="Normal"/>
              <w:widowControl w:val="false"/>
              <w:tabs>
                <w:tab w:val="clear" w:pos="1296"/>
                <w:tab w:val="left" w:pos="239" w:leader="none"/>
              </w:tabs>
              <w:suppressAutoHyphens w:val="true"/>
              <w:spacing w:before="0" w:after="0"/>
              <w:jc w:val="both"/>
              <w:rPr>
                <w:rFonts w:ascii="Arial" w:hAnsi="Arial" w:eastAsia="Times New Roman" w:cs="Arial"/>
              </w:rPr>
            </w:pPr>
            <w:r>
              <w:rPr>
                <w:rFonts w:cs="Arial" w:ascii="Arial" w:hAnsi="Arial"/>
                <w:sz w:val="22"/>
                <w:szCs w:val="22"/>
                <w:lang w:val="lt-LT" w:bidi="ar-SA"/>
              </w:rPr>
              <w:t>Padėties atnaujinimo dažnis (angl. Update rate): ne mažiau kaip 5 Hz.</w:t>
            </w:r>
          </w:p>
        </w:tc>
        <w:tc>
          <w:tcPr>
            <w:tcW w:w="5953" w:type="dxa"/>
            <w:tcBorders/>
          </w:tcPr>
          <w:p>
            <w:pPr>
              <w:pStyle w:val="Normal"/>
              <w:widowControl/>
              <w:suppressAutoHyphens w:val="true"/>
              <w:spacing w:beforeAutospacing="1" w:after="0"/>
              <w:jc w:val="center"/>
              <w:rPr>
                <w:rFonts w:ascii="Arial" w:hAnsi="Arial" w:cs="Arial"/>
                <w:i/>
                <w:i/>
                <w:iCs/>
                <w:color w:val="FF0000"/>
              </w:rPr>
            </w:pPr>
            <w:r>
              <w:rPr>
                <w:rFonts w:cs="Arial" w:ascii="Arial" w:hAnsi="Arial"/>
                <w:i/>
                <w:iCs/>
                <w:color w:val="FF0000"/>
                <w:sz w:val="22"/>
                <w:szCs w:val="22"/>
                <w:lang w:val="lt-LT" w:bidi="ar-SA"/>
              </w:rPr>
              <w:t>[Įrašo tiekėjas]</w:t>
            </w:r>
          </w:p>
        </w:tc>
      </w:tr>
      <w:tr>
        <w:trPr/>
        <w:tc>
          <w:tcPr>
            <w:tcW w:w="655" w:type="dxa"/>
            <w:vMerge w:val="continue"/>
            <w:tcBorders/>
          </w:tcPr>
          <w:p>
            <w:pPr>
              <w:pStyle w:val="Normal"/>
              <w:widowControl/>
              <w:suppressAutoHyphens w:val="true"/>
              <w:spacing w:beforeAutospacing="1" w:after="0"/>
              <w:jc w:val="both"/>
              <w:rPr>
                <w:rFonts w:ascii="Arial" w:hAnsi="Arial" w:cs="Arial"/>
              </w:rPr>
            </w:pPr>
            <w:r>
              <w:rPr>
                <w:rFonts w:cs="Arial" w:ascii="Arial" w:hAnsi="Arial"/>
              </w:rPr>
            </w:r>
          </w:p>
        </w:tc>
        <w:tc>
          <w:tcPr>
            <w:tcW w:w="2741" w:type="dxa"/>
            <w:vMerge w:val="continue"/>
            <w:tcBorders/>
          </w:tcPr>
          <w:p>
            <w:pPr>
              <w:pStyle w:val="Normal"/>
              <w:widowControl/>
              <w:suppressAutoHyphens w:val="true"/>
              <w:spacing w:beforeAutospacing="1" w:after="0"/>
              <w:jc w:val="both"/>
              <w:rPr>
                <w:rFonts w:ascii="Arial" w:hAnsi="Arial" w:cs="Arial"/>
              </w:rPr>
            </w:pPr>
            <w:r>
              <w:rPr>
                <w:rFonts w:cs="Arial" w:ascii="Arial" w:hAnsi="Arial"/>
              </w:rPr>
            </w:r>
          </w:p>
        </w:tc>
        <w:tc>
          <w:tcPr>
            <w:tcW w:w="5246" w:type="dxa"/>
            <w:tcBorders/>
          </w:tcPr>
          <w:p>
            <w:pPr>
              <w:pStyle w:val="Normal"/>
              <w:widowControl/>
              <w:suppressAutoHyphens w:val="true"/>
              <w:spacing w:lineRule="atLeast" w:line="231" w:before="0" w:after="0"/>
              <w:jc w:val="both"/>
              <w:rPr>
                <w:rFonts w:ascii="Arial" w:hAnsi="Arial" w:cs="Arial"/>
              </w:rPr>
            </w:pPr>
            <w:r>
              <w:rPr>
                <w:rFonts w:cs="Arial" w:ascii="Arial" w:hAnsi="Arial"/>
                <w:sz w:val="22"/>
                <w:szCs w:val="22"/>
                <w:lang w:val="lt-LT" w:bidi="ar-SA"/>
              </w:rPr>
              <w:t>Imtuvas privalo turėti galimybę priimti diferencialines pataisas visoms 3 reikalavime paminėtoms palydovinėms sistemoms.•</w:t>
            </w:r>
          </w:p>
        </w:tc>
        <w:tc>
          <w:tcPr>
            <w:tcW w:w="5953" w:type="dxa"/>
            <w:tcBorders/>
          </w:tcPr>
          <w:p>
            <w:pPr>
              <w:pStyle w:val="Normal"/>
              <w:widowControl/>
              <w:suppressAutoHyphens w:val="true"/>
              <w:spacing w:beforeAutospacing="1" w:after="0"/>
              <w:jc w:val="center"/>
              <w:rPr>
                <w:rFonts w:ascii="Arial" w:hAnsi="Arial" w:cs="Arial"/>
              </w:rPr>
            </w:pPr>
            <w:r>
              <w:rPr>
                <w:rFonts w:cs="Arial" w:ascii="Arial" w:hAnsi="Arial"/>
                <w:i/>
                <w:iCs/>
                <w:color w:val="FF0000"/>
                <w:sz w:val="22"/>
                <w:szCs w:val="22"/>
                <w:lang w:val="lt-LT" w:bidi="ar-SA"/>
              </w:rPr>
              <w:t>[Įrašo tiekėjas]</w:t>
            </w:r>
          </w:p>
        </w:tc>
      </w:tr>
      <w:tr>
        <w:trPr/>
        <w:tc>
          <w:tcPr>
            <w:tcW w:w="655" w:type="dxa"/>
            <w:vMerge w:val="continue"/>
            <w:tcBorders/>
          </w:tcPr>
          <w:p>
            <w:pPr>
              <w:pStyle w:val="Normal"/>
              <w:widowControl/>
              <w:suppressAutoHyphens w:val="true"/>
              <w:spacing w:beforeAutospacing="1" w:after="0"/>
              <w:jc w:val="both"/>
              <w:rPr>
                <w:rFonts w:ascii="Arial" w:hAnsi="Arial" w:cs="Arial"/>
              </w:rPr>
            </w:pPr>
            <w:r>
              <w:rPr>
                <w:rFonts w:cs="Arial" w:ascii="Arial" w:hAnsi="Arial"/>
              </w:rPr>
            </w:r>
          </w:p>
        </w:tc>
        <w:tc>
          <w:tcPr>
            <w:tcW w:w="2741" w:type="dxa"/>
            <w:vMerge w:val="continue"/>
            <w:tcBorders/>
          </w:tcPr>
          <w:p>
            <w:pPr>
              <w:pStyle w:val="Normal"/>
              <w:widowControl/>
              <w:suppressAutoHyphens w:val="true"/>
              <w:spacing w:beforeAutospacing="1" w:after="0"/>
              <w:jc w:val="both"/>
              <w:rPr>
                <w:rFonts w:ascii="Arial" w:hAnsi="Arial" w:cs="Arial"/>
              </w:rPr>
            </w:pPr>
            <w:r>
              <w:rPr>
                <w:rFonts w:cs="Arial" w:ascii="Arial" w:hAnsi="Arial"/>
              </w:rPr>
            </w:r>
          </w:p>
        </w:tc>
        <w:tc>
          <w:tcPr>
            <w:tcW w:w="5246" w:type="dxa"/>
            <w:tcBorders/>
          </w:tcPr>
          <w:p>
            <w:pPr>
              <w:pStyle w:val="Normal"/>
              <w:widowControl/>
              <w:suppressAutoHyphens w:val="true"/>
              <w:spacing w:lineRule="atLeast" w:line="231" w:before="0" w:after="0"/>
              <w:jc w:val="both"/>
              <w:rPr>
                <w:rFonts w:ascii="Arial" w:hAnsi="Arial" w:cs="Arial"/>
              </w:rPr>
            </w:pPr>
            <w:r>
              <w:rPr>
                <w:rFonts w:cs="Arial" w:ascii="Arial" w:hAnsi="Arial"/>
                <w:sz w:val="22"/>
                <w:szCs w:val="22"/>
                <w:lang w:val="lt-LT" w:bidi="ar-SA"/>
              </w:rPr>
              <w:t>GPS imtuvo naudojamas kanalų skaičius – ne mažesnis nei 400.</w:t>
            </w:r>
          </w:p>
        </w:tc>
        <w:tc>
          <w:tcPr>
            <w:tcW w:w="5953" w:type="dxa"/>
            <w:tcBorders/>
          </w:tcPr>
          <w:p>
            <w:pPr>
              <w:pStyle w:val="Normal"/>
              <w:widowControl/>
              <w:suppressAutoHyphens w:val="true"/>
              <w:spacing w:beforeAutospacing="1" w:after="0"/>
              <w:jc w:val="center"/>
              <w:rPr>
                <w:rFonts w:ascii="Arial" w:hAnsi="Arial" w:cs="Arial"/>
              </w:rPr>
            </w:pPr>
            <w:r>
              <w:rPr>
                <w:rFonts w:cs="Arial" w:ascii="Arial" w:hAnsi="Arial"/>
                <w:i/>
                <w:iCs/>
                <w:color w:val="FF0000"/>
                <w:sz w:val="22"/>
                <w:szCs w:val="22"/>
                <w:lang w:val="lt-LT" w:bidi="ar-SA"/>
              </w:rPr>
              <w:t>[Įrašo tiekėjas]</w:t>
            </w:r>
          </w:p>
        </w:tc>
      </w:tr>
      <w:tr>
        <w:trPr/>
        <w:tc>
          <w:tcPr>
            <w:tcW w:w="655" w:type="dxa"/>
            <w:vMerge w:val="continue"/>
            <w:tcBorders/>
          </w:tcPr>
          <w:p>
            <w:pPr>
              <w:pStyle w:val="Normal"/>
              <w:widowControl/>
              <w:suppressAutoHyphens w:val="true"/>
              <w:spacing w:beforeAutospacing="1" w:after="0"/>
              <w:jc w:val="both"/>
              <w:rPr>
                <w:rFonts w:ascii="Arial" w:hAnsi="Arial" w:cs="Arial"/>
              </w:rPr>
            </w:pPr>
            <w:r>
              <w:rPr>
                <w:rFonts w:cs="Arial" w:ascii="Arial" w:hAnsi="Arial"/>
              </w:rPr>
            </w:r>
          </w:p>
        </w:tc>
        <w:tc>
          <w:tcPr>
            <w:tcW w:w="2741" w:type="dxa"/>
            <w:vMerge w:val="continue"/>
            <w:tcBorders/>
          </w:tcPr>
          <w:p>
            <w:pPr>
              <w:pStyle w:val="Normal"/>
              <w:widowControl/>
              <w:suppressAutoHyphens w:val="true"/>
              <w:spacing w:beforeAutospacing="1" w:after="0"/>
              <w:jc w:val="both"/>
              <w:rPr>
                <w:rFonts w:ascii="Arial" w:hAnsi="Arial" w:cs="Arial"/>
              </w:rPr>
            </w:pPr>
            <w:r>
              <w:rPr>
                <w:rFonts w:cs="Arial" w:ascii="Arial" w:hAnsi="Arial"/>
              </w:rPr>
            </w:r>
          </w:p>
        </w:tc>
        <w:tc>
          <w:tcPr>
            <w:tcW w:w="5246" w:type="dxa"/>
            <w:tcBorders/>
            <w:vAlign w:val="center"/>
          </w:tcPr>
          <w:p>
            <w:pPr>
              <w:pStyle w:val="Normal"/>
              <w:widowControl/>
              <w:suppressAutoHyphens w:val="true"/>
              <w:spacing w:before="0" w:after="0"/>
              <w:jc w:val="both"/>
              <w:rPr>
                <w:rFonts w:ascii="Arial" w:hAnsi="Arial" w:cs="Arial"/>
              </w:rPr>
            </w:pPr>
            <w:r>
              <w:rPr>
                <w:rFonts w:cs="Arial" w:ascii="Arial" w:hAnsi="Arial"/>
                <w:sz w:val="22"/>
                <w:szCs w:val="22"/>
                <w:lang w:val="lt-LT" w:bidi="ar-SA"/>
              </w:rPr>
              <w:t>Privalomas visiškas suderinamumas su „LitPOS“ tinklu naudojant NTRIP protokolus.</w:t>
            </w:r>
          </w:p>
          <w:p>
            <w:pPr>
              <w:pStyle w:val="Normal"/>
              <w:widowControl/>
              <w:suppressAutoHyphens w:val="true"/>
              <w:spacing w:lineRule="atLeast" w:line="231" w:before="0" w:after="0"/>
              <w:jc w:val="both"/>
              <w:rPr>
                <w:rFonts w:ascii="Arial" w:hAnsi="Arial" w:cs="Arial"/>
              </w:rPr>
            </w:pPr>
            <w:r>
              <w:rPr>
                <w:rFonts w:cs="Arial" w:ascii="Arial" w:hAnsi="Arial"/>
                <w:sz w:val="22"/>
                <w:szCs w:val="22"/>
                <w:lang w:val="lt-LT" w:bidi="ar-SA"/>
              </w:rPr>
              <w:t>Privalomas duomenų formatų palaikymas, įskaitant RTCM 3.4.</w:t>
            </w:r>
          </w:p>
        </w:tc>
        <w:tc>
          <w:tcPr>
            <w:tcW w:w="5953" w:type="dxa"/>
            <w:tcBorders/>
          </w:tcPr>
          <w:p>
            <w:pPr>
              <w:pStyle w:val="Normal"/>
              <w:widowControl/>
              <w:suppressAutoHyphens w:val="true"/>
              <w:spacing w:beforeAutospacing="1" w:after="0"/>
              <w:jc w:val="center"/>
              <w:rPr>
                <w:rFonts w:ascii="Arial" w:hAnsi="Arial" w:cs="Arial"/>
              </w:rPr>
            </w:pPr>
            <w:r>
              <w:rPr>
                <w:rFonts w:cs="Arial" w:ascii="Arial" w:hAnsi="Arial"/>
                <w:i/>
                <w:iCs/>
                <w:color w:val="FF0000"/>
                <w:sz w:val="22"/>
                <w:szCs w:val="22"/>
                <w:lang w:val="lt-LT" w:bidi="ar-SA"/>
              </w:rPr>
              <w:t>[Įrašo tiekėjas]</w:t>
            </w:r>
          </w:p>
        </w:tc>
      </w:tr>
      <w:tr>
        <w:trPr/>
        <w:tc>
          <w:tcPr>
            <w:tcW w:w="655" w:type="dxa"/>
            <w:vMerge w:val="continue"/>
            <w:tcBorders/>
          </w:tcPr>
          <w:p>
            <w:pPr>
              <w:pStyle w:val="Normal"/>
              <w:widowControl/>
              <w:suppressAutoHyphens w:val="true"/>
              <w:spacing w:beforeAutospacing="1" w:after="0"/>
              <w:jc w:val="both"/>
              <w:rPr>
                <w:rFonts w:ascii="Arial" w:hAnsi="Arial" w:cs="Arial"/>
              </w:rPr>
            </w:pPr>
            <w:r>
              <w:rPr>
                <w:rFonts w:cs="Arial" w:ascii="Arial" w:hAnsi="Arial"/>
              </w:rPr>
            </w:r>
          </w:p>
        </w:tc>
        <w:tc>
          <w:tcPr>
            <w:tcW w:w="2741" w:type="dxa"/>
            <w:vMerge w:val="continue"/>
            <w:tcBorders/>
          </w:tcPr>
          <w:p>
            <w:pPr>
              <w:pStyle w:val="Normal"/>
              <w:widowControl/>
              <w:suppressAutoHyphens w:val="true"/>
              <w:bidi w:val="0"/>
              <w:spacing w:lineRule="auto" w:line="240" w:before="280" w:after="0"/>
              <w:jc w:val="both"/>
              <w:rPr>
                <w:rFonts w:ascii="Arial" w:hAnsi="Arial" w:cs="Arial"/>
              </w:rPr>
            </w:pPr>
            <w:r>
              <w:rPr>
                <w:rFonts w:cs="Arial" w:ascii="Arial" w:hAnsi="Arial"/>
              </w:rPr>
            </w:r>
          </w:p>
        </w:tc>
        <w:tc>
          <w:tcPr>
            <w:tcW w:w="5246" w:type="dxa"/>
            <w:tcBorders/>
          </w:tcPr>
          <w:p>
            <w:pPr>
              <w:pStyle w:val="Normal"/>
              <w:widowControl/>
              <w:suppressAutoHyphens w:val="true"/>
              <w:spacing w:lineRule="atLeast" w:line="231" w:before="0" w:after="0"/>
              <w:jc w:val="both"/>
              <w:rPr>
                <w:rFonts w:ascii="Arial" w:hAnsi="Arial" w:cs="Arial"/>
              </w:rPr>
            </w:pPr>
            <w:r>
              <w:rPr>
                <w:rFonts w:cs="Arial" w:ascii="Arial" w:hAnsi="Arial"/>
                <w:sz w:val="22"/>
                <w:szCs w:val="22"/>
                <w:lang w:val="lt-LT" w:bidi="ar-SA"/>
              </w:rPr>
              <w:t>Galimybė priimti ir naudoti diferencines pataisas GPS, BEIDOU, GALILEO palydovams.</w:t>
            </w:r>
          </w:p>
        </w:tc>
        <w:tc>
          <w:tcPr>
            <w:tcW w:w="5953" w:type="dxa"/>
            <w:tcBorders/>
          </w:tcPr>
          <w:p>
            <w:pPr>
              <w:pStyle w:val="Normal"/>
              <w:widowControl/>
              <w:suppressAutoHyphens w:val="true"/>
              <w:spacing w:beforeAutospacing="1" w:after="0"/>
              <w:jc w:val="center"/>
              <w:rPr>
                <w:rFonts w:ascii="Arial" w:hAnsi="Arial" w:cs="Arial"/>
                <w:b/>
                <w:bCs/>
              </w:rPr>
            </w:pPr>
            <w:r>
              <w:rPr>
                <w:rFonts w:cs="Arial" w:ascii="Arial" w:hAnsi="Arial"/>
                <w:i/>
                <w:iCs/>
                <w:color w:val="FF0000"/>
                <w:sz w:val="22"/>
                <w:szCs w:val="22"/>
                <w:lang w:val="lt-LT" w:bidi="ar-SA"/>
              </w:rPr>
              <w:t>[Įrašo tiekėjas]</w:t>
            </w:r>
          </w:p>
        </w:tc>
      </w:tr>
      <w:tr>
        <w:trPr/>
        <w:tc>
          <w:tcPr>
            <w:tcW w:w="655" w:type="dxa"/>
            <w:vMerge w:val="continue"/>
            <w:tcBorders/>
          </w:tcPr>
          <w:p>
            <w:pPr>
              <w:pStyle w:val="Normal"/>
              <w:widowControl/>
              <w:suppressAutoHyphens w:val="true"/>
              <w:spacing w:beforeAutospacing="1" w:after="0"/>
              <w:jc w:val="both"/>
              <w:rPr>
                <w:rFonts w:ascii="Arial" w:hAnsi="Arial" w:cs="Arial"/>
              </w:rPr>
            </w:pPr>
            <w:r>
              <w:rPr>
                <w:rFonts w:cs="Arial" w:ascii="Arial" w:hAnsi="Arial"/>
              </w:rPr>
            </w:r>
          </w:p>
        </w:tc>
        <w:tc>
          <w:tcPr>
            <w:tcW w:w="2741" w:type="dxa"/>
            <w:vMerge w:val="continue"/>
            <w:tcBorders/>
          </w:tcPr>
          <w:p>
            <w:pPr>
              <w:pStyle w:val="Normal"/>
              <w:widowControl/>
              <w:suppressAutoHyphens w:val="true"/>
              <w:spacing w:beforeAutospacing="1" w:after="0"/>
              <w:jc w:val="both"/>
              <w:rPr>
                <w:rFonts w:ascii="Arial" w:hAnsi="Arial" w:cs="Arial"/>
              </w:rPr>
            </w:pPr>
            <w:r>
              <w:rPr>
                <w:rFonts w:cs="Arial" w:ascii="Arial" w:hAnsi="Arial"/>
              </w:rPr>
            </w:r>
          </w:p>
        </w:tc>
        <w:tc>
          <w:tcPr>
            <w:tcW w:w="5246" w:type="dxa"/>
            <w:tcBorders/>
          </w:tcPr>
          <w:p>
            <w:pPr>
              <w:pStyle w:val="Normal"/>
              <w:widowControl/>
              <w:suppressAutoHyphens w:val="true"/>
              <w:spacing w:lineRule="atLeast" w:line="233" w:before="0" w:after="0"/>
              <w:jc w:val="both"/>
              <w:rPr>
                <w:rFonts w:ascii="Arial" w:hAnsi="Arial" w:cs="Arial"/>
              </w:rPr>
            </w:pPr>
            <w:r>
              <w:rPr>
                <w:rFonts w:cs="Arial" w:ascii="Arial" w:hAnsi="Arial"/>
                <w:sz w:val="22"/>
                <w:szCs w:val="22"/>
                <w:lang w:val="lt-LT" w:bidi="ar-SA"/>
              </w:rPr>
              <w:t>RTK (matavimo realiu laiku, gaunant pataisas iš tinklo) tikslumas turi būti ne prastesnis kaip: Horizontali padėtis: ne daugiau kaip 10 mm + 1 ppm RMS Vertikali padėtis: ne daugiau kaip 20 mm + 1 ppm RMS</w:t>
            </w:r>
          </w:p>
        </w:tc>
        <w:tc>
          <w:tcPr>
            <w:tcW w:w="5953" w:type="dxa"/>
            <w:tcBorders/>
          </w:tcPr>
          <w:p>
            <w:pPr>
              <w:pStyle w:val="Normal"/>
              <w:widowControl/>
              <w:suppressAutoHyphens w:val="true"/>
              <w:spacing w:beforeAutospacing="1" w:after="0"/>
              <w:jc w:val="center"/>
              <w:rPr>
                <w:rFonts w:ascii="Arial" w:hAnsi="Arial" w:cs="Arial"/>
              </w:rPr>
            </w:pPr>
            <w:r>
              <w:rPr>
                <w:rFonts w:cs="Arial" w:ascii="Arial" w:hAnsi="Arial"/>
                <w:i/>
                <w:iCs/>
                <w:color w:val="FF0000"/>
                <w:sz w:val="22"/>
                <w:szCs w:val="22"/>
                <w:lang w:val="lt-LT" w:bidi="ar-SA"/>
              </w:rPr>
              <w:t>[Įrašo tiekėjas]</w:t>
            </w:r>
          </w:p>
        </w:tc>
      </w:tr>
      <w:tr>
        <w:trPr/>
        <w:tc>
          <w:tcPr>
            <w:tcW w:w="655" w:type="dxa"/>
            <w:vMerge w:val="continue"/>
            <w:tcBorders/>
          </w:tcPr>
          <w:p>
            <w:pPr>
              <w:pStyle w:val="Normal"/>
              <w:widowControl/>
              <w:suppressAutoHyphens w:val="true"/>
              <w:spacing w:beforeAutospacing="1" w:after="0"/>
              <w:jc w:val="both"/>
              <w:rPr>
                <w:rFonts w:ascii="Arial" w:hAnsi="Arial" w:cs="Arial"/>
              </w:rPr>
            </w:pPr>
            <w:r>
              <w:rPr>
                <w:rFonts w:cs="Arial" w:ascii="Arial" w:hAnsi="Arial"/>
              </w:rPr>
            </w:r>
          </w:p>
        </w:tc>
        <w:tc>
          <w:tcPr>
            <w:tcW w:w="2741" w:type="dxa"/>
            <w:vMerge w:val="continue"/>
            <w:tcBorders/>
          </w:tcPr>
          <w:p>
            <w:pPr>
              <w:pStyle w:val="Normal"/>
              <w:widowControl/>
              <w:suppressAutoHyphens w:val="true"/>
              <w:spacing w:beforeAutospacing="1" w:after="0"/>
              <w:jc w:val="both"/>
              <w:rPr>
                <w:rFonts w:ascii="Arial" w:hAnsi="Arial" w:cs="Arial"/>
              </w:rPr>
            </w:pPr>
            <w:r>
              <w:rPr>
                <w:rFonts w:cs="Arial" w:ascii="Arial" w:hAnsi="Arial"/>
              </w:rPr>
            </w:r>
          </w:p>
        </w:tc>
        <w:tc>
          <w:tcPr>
            <w:tcW w:w="5246" w:type="dxa"/>
            <w:tcBorders/>
          </w:tcPr>
          <w:p>
            <w:pPr>
              <w:pStyle w:val="Normal"/>
              <w:widowControl/>
              <w:suppressAutoHyphens w:val="true"/>
              <w:spacing w:before="0" w:after="0"/>
              <w:jc w:val="left"/>
              <w:rPr>
                <w:rFonts w:ascii="Arial" w:hAnsi="Arial" w:cs="Arial"/>
              </w:rPr>
            </w:pPr>
            <w:r>
              <w:rPr>
                <w:rFonts w:cs="Arial" w:ascii="Arial" w:hAnsi="Arial"/>
                <w:sz w:val="22"/>
                <w:szCs w:val="22"/>
                <w:lang w:val="lt-LT" w:bidi="ar-SA"/>
              </w:rPr>
              <w:t>Integruotas Bluetooth technologijos modulis ne žemesnės kaip 4.0 versijos</w:t>
            </w:r>
          </w:p>
        </w:tc>
        <w:tc>
          <w:tcPr>
            <w:tcW w:w="5953" w:type="dxa"/>
            <w:tcBorders/>
          </w:tcPr>
          <w:p>
            <w:pPr>
              <w:pStyle w:val="Normal"/>
              <w:widowControl/>
              <w:suppressAutoHyphens w:val="true"/>
              <w:spacing w:beforeAutospacing="1" w:after="0"/>
              <w:jc w:val="center"/>
              <w:rPr>
                <w:rFonts w:ascii="Arial" w:hAnsi="Arial" w:cs="Arial"/>
              </w:rPr>
            </w:pPr>
            <w:r>
              <w:rPr>
                <w:rFonts w:cs="Arial" w:ascii="Arial" w:hAnsi="Arial"/>
                <w:i/>
                <w:iCs/>
                <w:color w:val="FF0000"/>
                <w:sz w:val="22"/>
                <w:szCs w:val="22"/>
                <w:lang w:val="lt-LT" w:bidi="ar-SA"/>
              </w:rPr>
              <w:t>[Įrašo tiekėjas]</w:t>
            </w:r>
          </w:p>
        </w:tc>
      </w:tr>
      <w:tr>
        <w:trPr/>
        <w:tc>
          <w:tcPr>
            <w:tcW w:w="655" w:type="dxa"/>
            <w:vMerge w:val="continue"/>
            <w:tcBorders/>
          </w:tcPr>
          <w:p>
            <w:pPr>
              <w:pStyle w:val="Normal"/>
              <w:widowControl/>
              <w:suppressAutoHyphens w:val="true"/>
              <w:spacing w:beforeAutospacing="1" w:after="0"/>
              <w:jc w:val="both"/>
              <w:rPr>
                <w:rFonts w:ascii="Arial" w:hAnsi="Arial" w:cs="Arial"/>
              </w:rPr>
            </w:pPr>
            <w:r>
              <w:rPr>
                <w:rFonts w:cs="Arial" w:ascii="Arial" w:hAnsi="Arial"/>
              </w:rPr>
            </w:r>
          </w:p>
        </w:tc>
        <w:tc>
          <w:tcPr>
            <w:tcW w:w="2741" w:type="dxa"/>
            <w:vMerge w:val="continue"/>
            <w:tcBorders/>
          </w:tcPr>
          <w:p>
            <w:pPr>
              <w:pStyle w:val="Normal"/>
              <w:widowControl/>
              <w:suppressAutoHyphens w:val="true"/>
              <w:spacing w:beforeAutospacing="1" w:after="0"/>
              <w:jc w:val="both"/>
              <w:rPr>
                <w:rFonts w:ascii="Arial" w:hAnsi="Arial" w:cs="Arial"/>
              </w:rPr>
            </w:pPr>
            <w:r>
              <w:rPr>
                <w:rFonts w:cs="Arial" w:ascii="Arial" w:hAnsi="Arial"/>
              </w:rPr>
            </w:r>
          </w:p>
        </w:tc>
        <w:tc>
          <w:tcPr>
            <w:tcW w:w="5246" w:type="dxa"/>
            <w:tcBorders/>
          </w:tcPr>
          <w:p>
            <w:pPr>
              <w:pStyle w:val="Normal"/>
              <w:widowControl/>
              <w:suppressAutoHyphens w:val="true"/>
              <w:spacing w:before="0" w:after="0"/>
              <w:ind w:hanging="35" w:left="35"/>
              <w:jc w:val="left"/>
              <w:rPr>
                <w:rFonts w:ascii="Arial" w:hAnsi="Arial" w:cs="Arial"/>
              </w:rPr>
            </w:pPr>
            <w:r>
              <w:rPr>
                <w:rFonts w:cs="Arial" w:ascii="Arial" w:hAnsi="Arial"/>
                <w:sz w:val="22"/>
                <w:szCs w:val="22"/>
                <w:lang w:val="lt-LT" w:bidi="ar-SA"/>
              </w:rPr>
              <w:t>Imtuvas ir jo perduodamas NMEA duomenų srautas (per Bluetooth) privalo būti pilnai suderinamas ir sklandžiai veikti su atviro kodo „QField“ GIS matavimų programine įranga.</w:t>
            </w:r>
          </w:p>
        </w:tc>
        <w:tc>
          <w:tcPr>
            <w:tcW w:w="5953" w:type="dxa"/>
            <w:tcBorders/>
          </w:tcPr>
          <w:p>
            <w:pPr>
              <w:pStyle w:val="Normal"/>
              <w:widowControl/>
              <w:suppressAutoHyphens w:val="true"/>
              <w:spacing w:beforeAutospacing="1" w:after="0"/>
              <w:jc w:val="center"/>
              <w:rPr>
                <w:rFonts w:ascii="Arial" w:hAnsi="Arial" w:cs="Arial"/>
              </w:rPr>
            </w:pPr>
            <w:r>
              <w:rPr>
                <w:rFonts w:cs="Arial" w:ascii="Arial" w:hAnsi="Arial"/>
                <w:i/>
                <w:iCs/>
                <w:color w:val="FF0000"/>
                <w:sz w:val="22"/>
                <w:szCs w:val="22"/>
                <w:lang w:val="lt-LT" w:bidi="ar-SA"/>
              </w:rPr>
              <w:t>[Įrašo tiekėjas]</w:t>
            </w:r>
          </w:p>
        </w:tc>
      </w:tr>
      <w:tr>
        <w:trPr/>
        <w:tc>
          <w:tcPr>
            <w:tcW w:w="655" w:type="dxa"/>
            <w:vMerge w:val="continue"/>
            <w:tcBorders/>
          </w:tcPr>
          <w:p>
            <w:pPr>
              <w:pStyle w:val="Normal"/>
              <w:widowControl/>
              <w:suppressAutoHyphens w:val="true"/>
              <w:spacing w:beforeAutospacing="1" w:after="0"/>
              <w:jc w:val="both"/>
              <w:rPr>
                <w:rFonts w:ascii="Arial" w:hAnsi="Arial" w:cs="Arial"/>
              </w:rPr>
            </w:pPr>
            <w:r>
              <w:rPr>
                <w:rFonts w:cs="Arial" w:ascii="Arial" w:hAnsi="Arial"/>
              </w:rPr>
            </w:r>
          </w:p>
        </w:tc>
        <w:tc>
          <w:tcPr>
            <w:tcW w:w="2741" w:type="dxa"/>
            <w:vMerge w:val="continue"/>
            <w:tcBorders/>
          </w:tcPr>
          <w:p>
            <w:pPr>
              <w:pStyle w:val="Normal"/>
              <w:widowControl/>
              <w:suppressAutoHyphens w:val="true"/>
              <w:spacing w:before="0" w:after="0"/>
              <w:jc w:val="left"/>
              <w:rPr>
                <w:rFonts w:ascii="Arial" w:hAnsi="Arial" w:cs="Arial"/>
              </w:rPr>
            </w:pPr>
            <w:r>
              <w:rPr>
                <w:rFonts w:cs="Arial" w:ascii="Arial" w:hAnsi="Arial"/>
              </w:rPr>
            </w:r>
          </w:p>
        </w:tc>
        <w:tc>
          <w:tcPr>
            <w:tcW w:w="5246" w:type="dxa"/>
            <w:tcBorders/>
          </w:tcPr>
          <w:p>
            <w:pPr>
              <w:pStyle w:val="Normal"/>
              <w:widowControl/>
              <w:suppressAutoHyphens w:val="true"/>
              <w:spacing w:lineRule="atLeast" w:line="233" w:before="0" w:after="0"/>
              <w:jc w:val="both"/>
              <w:rPr>
                <w:rFonts w:ascii="Arial" w:hAnsi="Arial" w:cs="Arial"/>
              </w:rPr>
            </w:pPr>
            <w:r>
              <w:rPr>
                <w:rFonts w:cs="Arial" w:ascii="Arial" w:hAnsi="Arial"/>
                <w:sz w:val="22"/>
                <w:szCs w:val="22"/>
                <w:lang w:val="lt-LT" w:bidi="ar-SA"/>
              </w:rPr>
              <w:t>NTRIP pataisų gavimui ir tikslių koordinačių perdavimui į išmanųjį įrenginį privalo būti užtikrintas bent vienas iš šių būdų:</w:t>
              <w:br/>
              <w:t xml:space="preserve">1. Suderinamumas su trečiųjų šalių aplikacija „Lefebure NTRIP Client“;    </w:t>
            </w:r>
            <w:r>
              <w:rPr>
                <w:rFonts w:cs="Arial" w:ascii="Arial" w:hAnsi="Arial"/>
                <w:b/>
                <w:bCs/>
                <w:sz w:val="22"/>
                <w:szCs w:val="22"/>
                <w:lang w:val="lt-LT" w:bidi="ar-SA"/>
              </w:rPr>
              <w:t>ARBA</w:t>
            </w:r>
            <w:r>
              <w:rPr>
                <w:rFonts w:cs="Arial" w:ascii="Arial" w:hAnsi="Arial"/>
                <w:sz w:val="22"/>
                <w:szCs w:val="22"/>
                <w:lang w:val="lt-LT" w:bidi="ar-SA"/>
              </w:rPr>
              <w:t xml:space="preserve"> 2. Gamintojas privalo suteikti savo išmaniąją valdymo aplikaciją („Android“), kuri palaiko NTRIP konfigūravimą ir turi „Mock Location“ (fiktyvios vietovės) funkciją operacinės sistemos lygiu. Ši valdymo programinė įranga turi būti nemokama arba jos licencijos kaina privalo būti įskaičiuota į bendrą pasiūlymo kainą.</w:t>
            </w:r>
          </w:p>
        </w:tc>
        <w:tc>
          <w:tcPr>
            <w:tcW w:w="5953" w:type="dxa"/>
            <w:tcBorders/>
          </w:tcPr>
          <w:p>
            <w:pPr>
              <w:pStyle w:val="Normal"/>
              <w:widowControl/>
              <w:suppressAutoHyphens w:val="true"/>
              <w:spacing w:beforeAutospacing="1" w:after="0"/>
              <w:jc w:val="center"/>
              <w:rPr>
                <w:rFonts w:ascii="Arial" w:hAnsi="Arial" w:cs="Arial"/>
              </w:rPr>
            </w:pPr>
            <w:r>
              <w:rPr>
                <w:rFonts w:cs="Arial" w:ascii="Arial" w:hAnsi="Arial"/>
                <w:i/>
                <w:iCs/>
                <w:color w:val="FF0000"/>
                <w:sz w:val="22"/>
                <w:szCs w:val="22"/>
                <w:lang w:val="lt-LT" w:bidi="ar-SA"/>
              </w:rPr>
              <w:t>[Įrašo tiekėjas]</w:t>
            </w:r>
          </w:p>
        </w:tc>
      </w:tr>
      <w:tr>
        <w:trPr/>
        <w:tc>
          <w:tcPr>
            <w:tcW w:w="655" w:type="dxa"/>
            <w:vMerge w:val="continue"/>
            <w:tcBorders/>
          </w:tcPr>
          <w:p>
            <w:pPr>
              <w:pStyle w:val="Normal"/>
              <w:widowControl/>
              <w:suppressAutoHyphens w:val="true"/>
              <w:spacing w:beforeAutospacing="1" w:after="0"/>
              <w:jc w:val="both"/>
              <w:rPr>
                <w:rFonts w:ascii="Arial" w:hAnsi="Arial" w:cs="Arial"/>
              </w:rPr>
            </w:pPr>
            <w:r>
              <w:rPr>
                <w:rFonts w:cs="Arial" w:ascii="Arial" w:hAnsi="Arial"/>
              </w:rPr>
            </w:r>
          </w:p>
        </w:tc>
        <w:tc>
          <w:tcPr>
            <w:tcW w:w="2741" w:type="dxa"/>
            <w:vMerge w:val="continue"/>
            <w:tcBorders/>
          </w:tcPr>
          <w:p>
            <w:pPr>
              <w:pStyle w:val="Normal"/>
              <w:widowControl/>
              <w:suppressAutoHyphens w:val="true"/>
              <w:spacing w:before="0" w:after="0"/>
              <w:jc w:val="left"/>
              <w:rPr>
                <w:rFonts w:ascii="Arial" w:hAnsi="Arial" w:cs="Arial"/>
              </w:rPr>
            </w:pPr>
            <w:r>
              <w:rPr>
                <w:rFonts w:cs="Arial" w:ascii="Arial" w:hAnsi="Arial"/>
              </w:rPr>
            </w:r>
          </w:p>
        </w:tc>
        <w:tc>
          <w:tcPr>
            <w:tcW w:w="5246" w:type="dxa"/>
            <w:tcBorders/>
          </w:tcPr>
          <w:p>
            <w:pPr>
              <w:pStyle w:val="Normal"/>
              <w:widowControl/>
              <w:suppressAutoHyphens w:val="true"/>
              <w:spacing w:lineRule="atLeast" w:line="233" w:before="0" w:after="0"/>
              <w:jc w:val="both"/>
              <w:rPr>
                <w:rFonts w:ascii="Arial" w:hAnsi="Arial" w:cs="Arial"/>
              </w:rPr>
            </w:pPr>
            <w:r>
              <w:rPr>
                <w:rFonts w:cs="Arial" w:ascii="Arial" w:hAnsi="Arial"/>
                <w:sz w:val="22"/>
                <w:szCs w:val="22"/>
                <w:lang w:val="lt-LT" w:bidi="ar-SA"/>
              </w:rPr>
              <w:t>Darbinės aplinkos temperatūros intervalas ne blogiau kaip nuo -20˚C iki + 55˚C</w:t>
            </w:r>
          </w:p>
        </w:tc>
        <w:tc>
          <w:tcPr>
            <w:tcW w:w="5953" w:type="dxa"/>
            <w:tcBorders/>
          </w:tcPr>
          <w:p>
            <w:pPr>
              <w:pStyle w:val="Normal"/>
              <w:widowControl/>
              <w:suppressAutoHyphens w:val="true"/>
              <w:spacing w:beforeAutospacing="1" w:after="0"/>
              <w:jc w:val="center"/>
              <w:rPr>
                <w:rFonts w:ascii="Arial" w:hAnsi="Arial" w:cs="Arial"/>
                <w:i/>
                <w:i/>
                <w:iCs/>
                <w:color w:val="FF0000"/>
              </w:rPr>
            </w:pPr>
            <w:r>
              <w:rPr>
                <w:rFonts w:cs="Arial" w:ascii="Arial" w:hAnsi="Arial"/>
                <w:i/>
                <w:iCs/>
                <w:color w:val="FF0000"/>
                <w:sz w:val="22"/>
                <w:szCs w:val="22"/>
                <w:lang w:val="lt-LT" w:bidi="ar-SA"/>
              </w:rPr>
              <w:t>[Įrašo tiekėjas]</w:t>
            </w:r>
          </w:p>
        </w:tc>
      </w:tr>
      <w:tr>
        <w:trPr/>
        <w:tc>
          <w:tcPr>
            <w:tcW w:w="655" w:type="dxa"/>
            <w:vMerge w:val="continue"/>
            <w:tcBorders/>
          </w:tcPr>
          <w:p>
            <w:pPr>
              <w:pStyle w:val="Normal"/>
              <w:widowControl/>
              <w:suppressAutoHyphens w:val="true"/>
              <w:spacing w:beforeAutospacing="1" w:after="0"/>
              <w:jc w:val="both"/>
              <w:rPr>
                <w:rFonts w:ascii="Arial" w:hAnsi="Arial" w:cs="Arial"/>
              </w:rPr>
            </w:pPr>
            <w:r>
              <w:rPr>
                <w:rFonts w:cs="Arial" w:ascii="Arial" w:hAnsi="Arial"/>
              </w:rPr>
            </w:r>
          </w:p>
        </w:tc>
        <w:tc>
          <w:tcPr>
            <w:tcW w:w="2741" w:type="dxa"/>
            <w:vMerge w:val="continue"/>
            <w:tcBorders/>
          </w:tcPr>
          <w:p>
            <w:pPr>
              <w:pStyle w:val="Normal"/>
              <w:widowControl/>
              <w:suppressAutoHyphens w:val="true"/>
              <w:spacing w:before="0" w:after="0"/>
              <w:jc w:val="left"/>
              <w:rPr>
                <w:rFonts w:ascii="Arial" w:hAnsi="Arial" w:cs="Arial"/>
              </w:rPr>
            </w:pPr>
            <w:r>
              <w:rPr>
                <w:rFonts w:cs="Arial" w:ascii="Arial" w:hAnsi="Arial"/>
              </w:rPr>
            </w:r>
          </w:p>
        </w:tc>
        <w:tc>
          <w:tcPr>
            <w:tcW w:w="5246" w:type="dxa"/>
            <w:tcBorders/>
          </w:tcPr>
          <w:p>
            <w:pPr>
              <w:pStyle w:val="Normal"/>
              <w:widowControl/>
              <w:suppressAutoHyphens w:val="true"/>
              <w:spacing w:lineRule="atLeast" w:line="233" w:before="0" w:after="0"/>
              <w:jc w:val="both"/>
              <w:rPr>
                <w:rFonts w:ascii="Arial" w:hAnsi="Arial" w:cs="Arial"/>
              </w:rPr>
            </w:pPr>
            <w:r>
              <w:rPr>
                <w:rFonts w:cs="Arial" w:ascii="Arial" w:hAnsi="Arial"/>
                <w:sz w:val="22"/>
                <w:szCs w:val="22"/>
                <w:lang w:val="lt-LT" w:bidi="ar-SA"/>
              </w:rPr>
              <w:t>Atsparumas vandeniui, dulkėms ne blogiau kaip IP67 pagal IEC 60529:1989 arba lygiavertį standartą.</w:t>
            </w:r>
          </w:p>
        </w:tc>
        <w:tc>
          <w:tcPr>
            <w:tcW w:w="5953" w:type="dxa"/>
            <w:tcBorders/>
          </w:tcPr>
          <w:p>
            <w:pPr>
              <w:pStyle w:val="Normal"/>
              <w:widowControl/>
              <w:suppressAutoHyphens w:val="true"/>
              <w:spacing w:beforeAutospacing="1" w:after="0"/>
              <w:jc w:val="center"/>
              <w:rPr>
                <w:rFonts w:ascii="Arial" w:hAnsi="Arial" w:cs="Arial"/>
                <w:i/>
                <w:i/>
                <w:iCs/>
                <w:color w:val="FF0000"/>
              </w:rPr>
            </w:pPr>
            <w:r>
              <w:rPr>
                <w:rFonts w:cs="Arial" w:ascii="Arial" w:hAnsi="Arial"/>
                <w:i/>
                <w:iCs/>
                <w:color w:val="FF0000"/>
                <w:sz w:val="22"/>
                <w:szCs w:val="22"/>
                <w:lang w:val="lt-LT" w:bidi="ar-SA"/>
              </w:rPr>
              <w:t>[Įrašo tiekėjas]</w:t>
            </w:r>
          </w:p>
        </w:tc>
      </w:tr>
      <w:tr>
        <w:trPr/>
        <w:tc>
          <w:tcPr>
            <w:tcW w:w="655" w:type="dxa"/>
            <w:vMerge w:val="continue"/>
            <w:tcBorders/>
          </w:tcPr>
          <w:p>
            <w:pPr>
              <w:pStyle w:val="Normal"/>
              <w:widowControl/>
              <w:suppressAutoHyphens w:val="true"/>
              <w:spacing w:beforeAutospacing="1" w:after="0"/>
              <w:jc w:val="both"/>
              <w:rPr>
                <w:rFonts w:ascii="Arial" w:hAnsi="Arial" w:cs="Arial"/>
              </w:rPr>
            </w:pPr>
            <w:r>
              <w:rPr>
                <w:rFonts w:cs="Arial" w:ascii="Arial" w:hAnsi="Arial"/>
              </w:rPr>
            </w:r>
          </w:p>
        </w:tc>
        <w:tc>
          <w:tcPr>
            <w:tcW w:w="2741" w:type="dxa"/>
            <w:vMerge w:val="continue"/>
            <w:tcBorders/>
          </w:tcPr>
          <w:p>
            <w:pPr>
              <w:pStyle w:val="Normal"/>
              <w:widowControl/>
              <w:suppressAutoHyphens w:val="true"/>
              <w:spacing w:before="0" w:after="0"/>
              <w:jc w:val="left"/>
              <w:rPr>
                <w:rFonts w:ascii="Arial" w:hAnsi="Arial" w:cs="Arial"/>
              </w:rPr>
            </w:pPr>
            <w:r>
              <w:rPr>
                <w:rFonts w:cs="Arial" w:ascii="Arial" w:hAnsi="Arial"/>
              </w:rPr>
            </w:r>
          </w:p>
        </w:tc>
        <w:tc>
          <w:tcPr>
            <w:tcW w:w="5246" w:type="dxa"/>
            <w:tcBorders/>
          </w:tcPr>
          <w:p>
            <w:pPr>
              <w:pStyle w:val="ListParagraph"/>
              <w:widowControl w:val="false"/>
              <w:tabs>
                <w:tab w:val="clear" w:pos="1296"/>
                <w:tab w:val="left" w:pos="426" w:leader="none"/>
              </w:tabs>
              <w:suppressAutoHyphens w:val="true"/>
              <w:spacing w:before="0" w:after="0"/>
              <w:ind w:left="-11"/>
              <w:contextualSpacing/>
              <w:jc w:val="both"/>
              <w:rPr>
                <w:rFonts w:ascii="Arial" w:hAnsi="Arial" w:cs="Arial"/>
              </w:rPr>
            </w:pPr>
            <w:r>
              <w:rPr>
                <w:rFonts w:cs="Arial" w:ascii="Arial" w:hAnsi="Arial"/>
                <w:sz w:val="22"/>
                <w:szCs w:val="22"/>
                <w:lang w:val="lt-LT" w:bidi="ar-SA"/>
              </w:rPr>
              <w:t>Turi atlaikyti kritimą ant kieto paviršiaus iš ne mažiau kaip 1,2 m aukščio</w:t>
            </w:r>
          </w:p>
        </w:tc>
        <w:tc>
          <w:tcPr>
            <w:tcW w:w="5953" w:type="dxa"/>
            <w:tcBorders/>
          </w:tcPr>
          <w:p>
            <w:pPr>
              <w:pStyle w:val="Normal"/>
              <w:widowControl/>
              <w:suppressAutoHyphens w:val="true"/>
              <w:spacing w:beforeAutospacing="1" w:after="0"/>
              <w:jc w:val="center"/>
              <w:rPr>
                <w:rFonts w:ascii="Arial" w:hAnsi="Arial" w:cs="Arial"/>
                <w:i/>
                <w:i/>
                <w:iCs/>
                <w:color w:val="FF0000"/>
              </w:rPr>
            </w:pPr>
            <w:r>
              <w:rPr>
                <w:rFonts w:cs="Arial" w:ascii="Arial" w:hAnsi="Arial"/>
                <w:i/>
                <w:iCs/>
                <w:color w:val="FF0000"/>
                <w:sz w:val="22"/>
                <w:szCs w:val="22"/>
                <w:lang w:val="lt-LT" w:bidi="ar-SA"/>
              </w:rPr>
              <w:t>[Įrašo tiekėjas]</w:t>
            </w:r>
          </w:p>
        </w:tc>
      </w:tr>
      <w:tr>
        <w:trPr/>
        <w:tc>
          <w:tcPr>
            <w:tcW w:w="655" w:type="dxa"/>
            <w:vMerge w:val="continue"/>
            <w:tcBorders/>
          </w:tcPr>
          <w:p>
            <w:pPr>
              <w:pStyle w:val="Normal"/>
              <w:widowControl/>
              <w:suppressAutoHyphens w:val="true"/>
              <w:spacing w:beforeAutospacing="1" w:after="0"/>
              <w:jc w:val="both"/>
              <w:rPr>
                <w:rFonts w:ascii="Arial" w:hAnsi="Arial" w:cs="Arial"/>
              </w:rPr>
            </w:pPr>
            <w:r>
              <w:rPr>
                <w:rFonts w:cs="Arial" w:ascii="Arial" w:hAnsi="Arial"/>
              </w:rPr>
            </w:r>
          </w:p>
        </w:tc>
        <w:tc>
          <w:tcPr>
            <w:tcW w:w="2741" w:type="dxa"/>
            <w:vMerge w:val="continue"/>
            <w:tcBorders/>
          </w:tcPr>
          <w:p>
            <w:pPr>
              <w:pStyle w:val="Normal"/>
              <w:widowControl/>
              <w:suppressAutoHyphens w:val="true"/>
              <w:spacing w:before="0" w:after="0"/>
              <w:ind w:hanging="109" w:left="109"/>
              <w:jc w:val="left"/>
              <w:rPr>
                <w:rFonts w:ascii="Arial" w:hAnsi="Arial" w:cs="Arial"/>
              </w:rPr>
            </w:pPr>
            <w:r>
              <w:rPr>
                <w:rFonts w:cs="Arial" w:ascii="Arial" w:hAnsi="Arial"/>
              </w:rPr>
            </w:r>
          </w:p>
        </w:tc>
        <w:tc>
          <w:tcPr>
            <w:tcW w:w="5246" w:type="dxa"/>
            <w:tcBorders/>
          </w:tcPr>
          <w:p>
            <w:pPr>
              <w:pStyle w:val="Normal"/>
              <w:widowControl/>
              <w:shd w:val="clear" w:color="auto" w:fill="FFFFFF"/>
              <w:suppressAutoHyphens w:val="true"/>
              <w:spacing w:lineRule="atLeast" w:line="233" w:before="0" w:after="0"/>
              <w:jc w:val="both"/>
              <w:rPr>
                <w:rFonts w:ascii="Arial" w:hAnsi="Arial" w:cs="Arial"/>
              </w:rPr>
            </w:pPr>
            <w:r>
              <w:rPr>
                <w:rFonts w:cs="Arial" w:ascii="Arial" w:hAnsi="Arial"/>
                <w:sz w:val="22"/>
                <w:szCs w:val="22"/>
                <w:lang w:val="lt-LT" w:bidi="ar-SA"/>
              </w:rPr>
              <w:t>Maksimalus GNSS imtuvo svoris ne daugiau 1,2 kg.</w:t>
            </w:r>
          </w:p>
        </w:tc>
        <w:tc>
          <w:tcPr>
            <w:tcW w:w="5953" w:type="dxa"/>
            <w:tcBorders/>
          </w:tcPr>
          <w:p>
            <w:pPr>
              <w:pStyle w:val="Normal"/>
              <w:widowControl/>
              <w:suppressAutoHyphens w:val="true"/>
              <w:spacing w:beforeAutospacing="1" w:after="0"/>
              <w:jc w:val="center"/>
              <w:rPr>
                <w:rFonts w:ascii="Arial" w:hAnsi="Arial" w:cs="Arial"/>
              </w:rPr>
            </w:pPr>
            <w:r>
              <w:rPr>
                <w:rFonts w:cs="Arial" w:ascii="Arial" w:hAnsi="Arial"/>
                <w:i/>
                <w:iCs/>
                <w:color w:val="FF0000"/>
                <w:sz w:val="22"/>
                <w:szCs w:val="22"/>
                <w:lang w:val="lt-LT" w:bidi="ar-SA"/>
              </w:rPr>
              <w:t>[Įrašo tiekėjas]</w:t>
            </w:r>
          </w:p>
        </w:tc>
      </w:tr>
      <w:tr>
        <w:trPr/>
        <w:tc>
          <w:tcPr>
            <w:tcW w:w="655" w:type="dxa"/>
            <w:vMerge w:val="continue"/>
            <w:tcBorders/>
          </w:tcPr>
          <w:p>
            <w:pPr>
              <w:pStyle w:val="Normal"/>
              <w:widowControl/>
              <w:suppressAutoHyphens w:val="true"/>
              <w:spacing w:beforeAutospacing="1" w:after="0"/>
              <w:jc w:val="both"/>
              <w:rPr>
                <w:rFonts w:ascii="Arial" w:hAnsi="Arial" w:cs="Arial"/>
              </w:rPr>
            </w:pPr>
            <w:r>
              <w:rPr>
                <w:rFonts w:cs="Arial" w:ascii="Arial" w:hAnsi="Arial"/>
              </w:rPr>
            </w:r>
          </w:p>
        </w:tc>
        <w:tc>
          <w:tcPr>
            <w:tcW w:w="2741" w:type="dxa"/>
            <w:vMerge w:val="continue"/>
            <w:tcBorders/>
          </w:tcPr>
          <w:p>
            <w:pPr>
              <w:pStyle w:val="Normal"/>
              <w:widowControl/>
              <w:suppressAutoHyphens w:val="true"/>
              <w:spacing w:before="0" w:after="0"/>
              <w:ind w:hanging="109" w:left="109"/>
              <w:jc w:val="left"/>
              <w:rPr>
                <w:rFonts w:ascii="Arial" w:hAnsi="Arial" w:cs="Arial"/>
              </w:rPr>
            </w:pPr>
            <w:r>
              <w:rPr>
                <w:rFonts w:cs="Arial" w:ascii="Arial" w:hAnsi="Arial"/>
              </w:rPr>
            </w:r>
          </w:p>
        </w:tc>
        <w:tc>
          <w:tcPr>
            <w:tcW w:w="5246" w:type="dxa"/>
            <w:tcBorders/>
            <w:vAlign w:val="center"/>
          </w:tcPr>
          <w:p>
            <w:pPr>
              <w:pStyle w:val="Normal"/>
              <w:widowControl/>
              <w:suppressAutoHyphens w:val="true"/>
              <w:spacing w:before="0" w:after="0"/>
              <w:jc w:val="left"/>
              <w:rPr>
                <w:rFonts w:ascii="Arial" w:hAnsi="Arial" w:cs="Arial"/>
              </w:rPr>
            </w:pPr>
            <w:r>
              <w:rPr>
                <w:rFonts w:cs="Arial" w:ascii="Arial" w:hAnsi="Arial"/>
                <w:sz w:val="22"/>
                <w:szCs w:val="22"/>
                <w:lang w:val="lt-LT" w:bidi="ar-SA"/>
              </w:rPr>
              <w:t>USB-C krovimo jungtis ar atskiros, greitai keičiamos montuojamos baterijos komplektuojamos su įkrovimo blokeliu, laidu</w:t>
            </w:r>
          </w:p>
        </w:tc>
        <w:tc>
          <w:tcPr>
            <w:tcW w:w="5953" w:type="dxa"/>
            <w:tcBorders/>
          </w:tcPr>
          <w:p>
            <w:pPr>
              <w:pStyle w:val="Normal"/>
              <w:widowControl/>
              <w:suppressAutoHyphens w:val="true"/>
              <w:spacing w:beforeAutospacing="1" w:after="0"/>
              <w:jc w:val="center"/>
              <w:rPr>
                <w:rFonts w:ascii="Arial" w:hAnsi="Arial" w:cs="Arial"/>
                <w:i/>
                <w:i/>
                <w:iCs/>
                <w:color w:val="FF0000"/>
              </w:rPr>
            </w:pPr>
            <w:r>
              <w:rPr>
                <w:rFonts w:cs="Arial" w:ascii="Arial" w:hAnsi="Arial"/>
                <w:i/>
                <w:iCs/>
                <w:color w:val="FF0000"/>
                <w:sz w:val="22"/>
                <w:szCs w:val="22"/>
                <w:lang w:val="lt-LT" w:bidi="ar-SA"/>
              </w:rPr>
              <w:t>[Įrašo tiekėjas]</w:t>
            </w:r>
          </w:p>
        </w:tc>
      </w:tr>
      <w:tr>
        <w:trPr/>
        <w:tc>
          <w:tcPr>
            <w:tcW w:w="655" w:type="dxa"/>
            <w:vMerge w:val="continue"/>
            <w:tcBorders/>
          </w:tcPr>
          <w:p>
            <w:pPr>
              <w:pStyle w:val="Normal"/>
              <w:widowControl/>
              <w:suppressAutoHyphens w:val="true"/>
              <w:spacing w:beforeAutospacing="1" w:after="0"/>
              <w:jc w:val="both"/>
              <w:rPr>
                <w:rFonts w:ascii="Arial" w:hAnsi="Arial" w:cs="Arial"/>
              </w:rPr>
            </w:pPr>
            <w:r>
              <w:rPr>
                <w:rFonts w:cs="Arial" w:ascii="Arial" w:hAnsi="Arial"/>
              </w:rPr>
            </w:r>
          </w:p>
        </w:tc>
        <w:tc>
          <w:tcPr>
            <w:tcW w:w="2741" w:type="dxa"/>
            <w:vMerge w:val="continue"/>
            <w:tcBorders/>
          </w:tcPr>
          <w:p>
            <w:pPr>
              <w:pStyle w:val="Normal"/>
              <w:widowControl/>
              <w:suppressAutoHyphens w:val="true"/>
              <w:spacing w:before="0" w:after="0"/>
              <w:ind w:hanging="109" w:left="109"/>
              <w:jc w:val="left"/>
              <w:rPr>
                <w:rFonts w:ascii="Arial" w:hAnsi="Arial" w:cs="Arial"/>
              </w:rPr>
            </w:pPr>
            <w:r>
              <w:rPr>
                <w:rFonts w:cs="Arial" w:ascii="Arial" w:hAnsi="Arial"/>
              </w:rPr>
            </w:r>
          </w:p>
        </w:tc>
        <w:tc>
          <w:tcPr>
            <w:tcW w:w="5246" w:type="dxa"/>
            <w:tcBorders/>
          </w:tcPr>
          <w:p>
            <w:pPr>
              <w:pStyle w:val="Normal"/>
              <w:widowControl/>
              <w:suppressAutoHyphens w:val="true"/>
              <w:spacing w:before="0" w:after="0"/>
              <w:jc w:val="left"/>
              <w:rPr>
                <w:rFonts w:ascii="Arial" w:hAnsi="Arial" w:cs="Arial"/>
              </w:rPr>
            </w:pPr>
            <w:r>
              <w:rPr>
                <w:rFonts w:cs="Arial" w:ascii="Arial" w:hAnsi="Arial"/>
                <w:sz w:val="22"/>
                <w:szCs w:val="22"/>
                <w:lang w:val="lt-LT" w:bidi="ar-SA"/>
              </w:rPr>
              <w:t>Integruotas arba keičiamas akumuliatorius, užtikrinantis ne mažiau kaip 8 valandų nepertraukiamą matavimą.</w:t>
            </w:r>
          </w:p>
        </w:tc>
        <w:tc>
          <w:tcPr>
            <w:tcW w:w="5953" w:type="dxa"/>
            <w:tcBorders/>
          </w:tcPr>
          <w:p>
            <w:pPr>
              <w:pStyle w:val="Normal"/>
              <w:widowControl/>
              <w:suppressAutoHyphens w:val="true"/>
              <w:spacing w:beforeAutospacing="1" w:after="0"/>
              <w:jc w:val="center"/>
              <w:rPr>
                <w:rFonts w:ascii="Arial" w:hAnsi="Arial" w:cs="Arial"/>
                <w:i/>
                <w:i/>
                <w:iCs/>
                <w:color w:val="FF0000"/>
              </w:rPr>
            </w:pPr>
            <w:r>
              <w:rPr>
                <w:rFonts w:cs="Arial" w:ascii="Arial" w:hAnsi="Arial"/>
                <w:i/>
                <w:iCs/>
                <w:color w:val="FF0000"/>
              </w:rPr>
            </w:r>
          </w:p>
        </w:tc>
      </w:tr>
      <w:tr>
        <w:trPr/>
        <w:tc>
          <w:tcPr>
            <w:tcW w:w="655" w:type="dxa"/>
            <w:vMerge w:val="restart"/>
            <w:tcBorders/>
          </w:tcPr>
          <w:p>
            <w:pPr>
              <w:pStyle w:val="Normal"/>
              <w:widowControl/>
              <w:suppressAutoHyphens w:val="true"/>
              <w:spacing w:beforeAutospacing="1" w:after="0"/>
              <w:jc w:val="both"/>
              <w:rPr>
                <w:rFonts w:ascii="Arial" w:hAnsi="Arial" w:cs="Arial"/>
              </w:rPr>
            </w:pPr>
            <w:r>
              <w:rPr>
                <w:rFonts w:cs="Arial" w:ascii="Arial" w:hAnsi="Arial"/>
                <w:sz w:val="22"/>
                <w:szCs w:val="22"/>
                <w:lang w:val="lt-LT" w:bidi="ar-SA"/>
              </w:rPr>
              <w:t>4‍</w:t>
            </w:r>
          </w:p>
        </w:tc>
        <w:tc>
          <w:tcPr>
            <w:tcW w:w="2741" w:type="dxa"/>
            <w:vMerge w:val="restart"/>
            <w:tcBorders/>
          </w:tcPr>
          <w:p>
            <w:pPr>
              <w:pStyle w:val="Normal"/>
              <w:widowControl/>
              <w:suppressAutoHyphens w:val="true"/>
              <w:spacing w:before="0" w:after="0"/>
              <w:ind w:hanging="109" w:left="109"/>
              <w:jc w:val="left"/>
              <w:rPr>
                <w:rFonts w:ascii="Arial" w:hAnsi="Arial" w:cs="Arial"/>
              </w:rPr>
            </w:pPr>
            <w:r>
              <w:rPr>
                <w:rFonts w:cs="Arial" w:ascii="Arial" w:hAnsi="Arial"/>
                <w:sz w:val="22"/>
                <w:szCs w:val="22"/>
                <w:lang w:val="lt-LT" w:bidi="ar-SA"/>
              </w:rPr>
              <w:t>Komplektuojami priedai</w:t>
            </w:r>
          </w:p>
        </w:tc>
        <w:tc>
          <w:tcPr>
            <w:tcW w:w="5246" w:type="dxa"/>
            <w:tcBorders/>
            <w:vAlign w:val="center"/>
          </w:tcPr>
          <w:p>
            <w:pPr>
              <w:pStyle w:val="ListParagraph"/>
              <w:widowControl/>
              <w:numPr>
                <w:ilvl w:val="0"/>
                <w:numId w:val="0"/>
              </w:numPr>
              <w:tabs>
                <w:tab w:val="clear" w:pos="1296"/>
                <w:tab w:val="left" w:pos="280" w:leader="none"/>
              </w:tabs>
              <w:suppressAutoHyphens w:val="true"/>
              <w:bidi w:val="0"/>
              <w:spacing w:lineRule="auto" w:line="259" w:before="0" w:after="0"/>
              <w:ind w:hanging="0" w:left="113" w:right="0"/>
              <w:contextualSpacing/>
              <w:jc w:val="both"/>
              <w:rPr>
                <w:rFonts w:ascii="Arial" w:hAnsi="Arial" w:cs="Arial"/>
              </w:rPr>
            </w:pPr>
            <w:r>
              <w:rPr>
                <w:rFonts w:cs="Arial" w:ascii="Arial" w:hAnsi="Arial"/>
                <w:sz w:val="22"/>
                <w:szCs w:val="22"/>
                <w:lang w:val="lt-LT" w:bidi="ar-SA"/>
              </w:rPr>
              <w:t xml:space="preserve">a. Teleskopinė kompozitinio pluošto kartelė su ištraukiama aliuminio ar kompozitinio pluošto dalimi </w:t>
            </w:r>
            <w:r>
              <w:rPr>
                <w:rFonts w:cs="Arial" w:ascii="Arial" w:hAnsi="Arial"/>
                <w:bCs/>
                <w:sz w:val="22"/>
                <w:szCs w:val="22"/>
                <w:lang w:val="lt-LT" w:bidi="ar-SA"/>
              </w:rPr>
              <w:t xml:space="preserve">≥ 2 m. aukščio su pritaikytu 8.0″ planšetės laikikliu </w:t>
            </w:r>
            <w:r>
              <w:rPr>
                <w:rFonts w:cs="Arial" w:ascii="Arial" w:hAnsi="Arial"/>
                <w:b/>
                <w:sz w:val="22"/>
                <w:szCs w:val="22"/>
                <w:lang w:val="lt-LT" w:bidi="ar-SA"/>
              </w:rPr>
              <w:t>IR</w:t>
            </w:r>
          </w:p>
        </w:tc>
        <w:tc>
          <w:tcPr>
            <w:tcW w:w="5953" w:type="dxa"/>
            <w:tcBorders/>
          </w:tcPr>
          <w:p>
            <w:pPr>
              <w:pStyle w:val="Normal"/>
              <w:widowControl/>
              <w:suppressAutoHyphens w:val="true"/>
              <w:spacing w:beforeAutospacing="1" w:after="0"/>
              <w:jc w:val="center"/>
              <w:rPr>
                <w:rFonts w:ascii="Arial" w:hAnsi="Arial" w:cs="Arial"/>
                <w:i/>
                <w:i/>
                <w:iCs/>
                <w:color w:val="FF0000"/>
              </w:rPr>
            </w:pPr>
            <w:r>
              <w:rPr>
                <w:rFonts w:cs="Arial" w:ascii="Arial" w:hAnsi="Arial"/>
                <w:i/>
                <w:iCs/>
                <w:color w:val="FF0000"/>
                <w:sz w:val="22"/>
                <w:szCs w:val="22"/>
                <w:lang w:val="lt-LT" w:bidi="ar-SA"/>
              </w:rPr>
              <w:t>[Įrašo tiekėjas]</w:t>
            </w:r>
          </w:p>
        </w:tc>
      </w:tr>
      <w:tr>
        <w:trPr/>
        <w:tc>
          <w:tcPr>
            <w:tcW w:w="655" w:type="dxa"/>
            <w:vMerge w:val="continue"/>
            <w:tcBorders/>
          </w:tcPr>
          <w:p>
            <w:pPr>
              <w:pStyle w:val="Normal"/>
              <w:widowControl/>
              <w:suppressAutoHyphens w:val="true"/>
              <w:spacing w:beforeAutospacing="1" w:after="0"/>
              <w:jc w:val="both"/>
              <w:rPr>
                <w:rFonts w:ascii="Arial" w:hAnsi="Arial" w:cs="Arial"/>
              </w:rPr>
            </w:pPr>
            <w:r>
              <w:rPr>
                <w:rFonts w:cs="Arial" w:ascii="Arial" w:hAnsi="Arial"/>
              </w:rPr>
            </w:r>
          </w:p>
        </w:tc>
        <w:tc>
          <w:tcPr>
            <w:tcW w:w="2741" w:type="dxa"/>
            <w:vMerge w:val="continue"/>
            <w:tcBorders/>
          </w:tcPr>
          <w:p>
            <w:pPr>
              <w:pStyle w:val="Normal"/>
              <w:widowControl/>
              <w:suppressAutoHyphens w:val="true"/>
              <w:spacing w:before="0" w:after="0"/>
              <w:ind w:hanging="109" w:left="109"/>
              <w:jc w:val="left"/>
              <w:rPr>
                <w:rFonts w:ascii="Arial" w:hAnsi="Arial" w:cs="Arial"/>
              </w:rPr>
            </w:pPr>
            <w:r>
              <w:rPr>
                <w:rFonts w:cs="Arial" w:ascii="Arial" w:hAnsi="Arial"/>
              </w:rPr>
            </w:r>
          </w:p>
        </w:tc>
        <w:tc>
          <w:tcPr>
            <w:tcW w:w="5246" w:type="dxa"/>
            <w:tcBorders/>
            <w:vAlign w:val="center"/>
          </w:tcPr>
          <w:p>
            <w:pPr>
              <w:pStyle w:val="Normal"/>
              <w:widowControl/>
              <w:suppressAutoHyphens w:val="true"/>
              <w:spacing w:before="0" w:after="0"/>
              <w:jc w:val="left"/>
              <w:rPr>
                <w:rFonts w:ascii="Arial" w:hAnsi="Arial" w:cs="Arial"/>
              </w:rPr>
            </w:pPr>
            <w:r>
              <w:rPr>
                <w:rFonts w:cs="Arial" w:ascii="Arial" w:hAnsi="Arial"/>
                <w:bCs/>
                <w:sz w:val="22"/>
                <w:szCs w:val="22"/>
                <w:lang w:val="lt-LT" w:bidi="ar-SA"/>
              </w:rPr>
              <w:t>b. Kuprinė su pritaikytais GNSS laikikliais naudojimui, užtikrinant pakankamą įrenginio aukštį (naudotojo kūnas/galva neužstoja dangaus skliauto).</w:t>
            </w:r>
          </w:p>
        </w:tc>
        <w:tc>
          <w:tcPr>
            <w:tcW w:w="5953" w:type="dxa"/>
            <w:tcBorders/>
          </w:tcPr>
          <w:p>
            <w:pPr>
              <w:pStyle w:val="Normal"/>
              <w:widowControl/>
              <w:suppressAutoHyphens w:val="true"/>
              <w:spacing w:beforeAutospacing="1" w:after="0"/>
              <w:jc w:val="center"/>
              <w:rPr>
                <w:rFonts w:ascii="Arial" w:hAnsi="Arial" w:cs="Arial"/>
                <w:i/>
                <w:i/>
                <w:iCs/>
                <w:color w:val="FF0000"/>
              </w:rPr>
            </w:pPr>
            <w:r>
              <w:rPr>
                <w:rFonts w:cs="Arial" w:ascii="Arial" w:hAnsi="Arial"/>
                <w:i/>
                <w:iCs/>
                <w:color w:val="FF0000"/>
                <w:sz w:val="22"/>
                <w:szCs w:val="22"/>
                <w:lang w:val="lt-LT" w:bidi="ar-SA"/>
              </w:rPr>
              <w:t>[Įrašo tiekėjas]</w:t>
            </w:r>
          </w:p>
        </w:tc>
      </w:tr>
      <w:tr>
        <w:trPr/>
        <w:tc>
          <w:tcPr>
            <w:tcW w:w="655" w:type="dxa"/>
            <w:vMerge w:val="continue"/>
            <w:tcBorders/>
          </w:tcPr>
          <w:p>
            <w:pPr>
              <w:pStyle w:val="Normal"/>
              <w:widowControl/>
              <w:suppressAutoHyphens w:val="true"/>
              <w:spacing w:beforeAutospacing="1" w:after="0"/>
              <w:jc w:val="both"/>
              <w:rPr>
                <w:rFonts w:ascii="Arial" w:hAnsi="Arial" w:cs="Arial"/>
              </w:rPr>
            </w:pPr>
            <w:r>
              <w:rPr>
                <w:rFonts w:cs="Arial" w:ascii="Arial" w:hAnsi="Arial"/>
              </w:rPr>
            </w:r>
          </w:p>
        </w:tc>
        <w:tc>
          <w:tcPr>
            <w:tcW w:w="2741" w:type="dxa"/>
            <w:vMerge w:val="continue"/>
            <w:tcBorders/>
          </w:tcPr>
          <w:p>
            <w:pPr>
              <w:pStyle w:val="Normal"/>
              <w:widowControl/>
              <w:suppressAutoHyphens w:val="true"/>
              <w:spacing w:before="0" w:after="0"/>
              <w:ind w:hanging="109" w:left="109"/>
              <w:jc w:val="left"/>
              <w:rPr>
                <w:rFonts w:ascii="Arial" w:hAnsi="Arial" w:cs="Arial"/>
              </w:rPr>
            </w:pPr>
            <w:r>
              <w:rPr>
                <w:rFonts w:cs="Arial" w:ascii="Arial" w:hAnsi="Arial"/>
              </w:rPr>
            </w:r>
          </w:p>
        </w:tc>
        <w:tc>
          <w:tcPr>
            <w:tcW w:w="5246" w:type="dxa"/>
            <w:tcBorders>
              <w:top w:val="nil"/>
            </w:tcBorders>
            <w:vAlign w:val="center"/>
          </w:tcPr>
          <w:p>
            <w:pPr>
              <w:pStyle w:val="Normal"/>
              <w:suppressAutoHyphens w:val="true"/>
              <w:spacing w:before="0" w:after="0"/>
              <w:jc w:val="both"/>
              <w:rPr>
                <w:rFonts w:ascii="Arial" w:hAnsi="Arial" w:cs="Arial"/>
              </w:rPr>
            </w:pPr>
            <w:r>
              <w:rPr>
                <w:rFonts w:cs="Arial" w:ascii="Arial" w:hAnsi="Arial"/>
              </w:rPr>
              <w:t>GPS imtuvo baterijų įkrovikliai/laidai užtikrinantys tinkamą įrenginių pakrovimą.</w:t>
            </w:r>
          </w:p>
        </w:tc>
        <w:tc>
          <w:tcPr>
            <w:tcW w:w="5953" w:type="dxa"/>
            <w:tcBorders>
              <w:top w:val="nil"/>
            </w:tcBorders>
          </w:tcPr>
          <w:p>
            <w:pPr>
              <w:pStyle w:val="Normal"/>
              <w:widowControl/>
              <w:suppressAutoHyphens w:val="true"/>
              <w:spacing w:beforeAutospacing="1" w:after="0"/>
              <w:jc w:val="center"/>
              <w:rPr>
                <w:rFonts w:ascii="Arial" w:hAnsi="Arial" w:cs="Arial"/>
                <w:i/>
                <w:i/>
                <w:iCs/>
                <w:color w:val="FF0000"/>
              </w:rPr>
            </w:pPr>
            <w:r>
              <w:rPr>
                <w:rFonts w:cs="Arial" w:ascii="Arial" w:hAnsi="Arial"/>
                <w:i/>
                <w:iCs/>
                <w:color w:val="FF0000"/>
              </w:rPr>
              <w:t>[Įrašo tiekėjas]</w:t>
            </w:r>
          </w:p>
        </w:tc>
      </w:tr>
      <w:tr>
        <w:trPr/>
        <w:tc>
          <w:tcPr>
            <w:tcW w:w="655" w:type="dxa"/>
            <w:vMerge w:val="continue"/>
            <w:tcBorders/>
          </w:tcPr>
          <w:p>
            <w:pPr>
              <w:pStyle w:val="Normal"/>
              <w:widowControl/>
              <w:suppressAutoHyphens w:val="true"/>
              <w:spacing w:beforeAutospacing="1" w:after="0"/>
              <w:jc w:val="both"/>
              <w:rPr>
                <w:rFonts w:ascii="Arial" w:hAnsi="Arial" w:cs="Arial"/>
              </w:rPr>
            </w:pPr>
            <w:r>
              <w:rPr>
                <w:rFonts w:cs="Arial" w:ascii="Arial" w:hAnsi="Arial"/>
              </w:rPr>
            </w:r>
          </w:p>
        </w:tc>
        <w:tc>
          <w:tcPr>
            <w:tcW w:w="2741" w:type="dxa"/>
            <w:vMerge w:val="continue"/>
            <w:tcBorders/>
          </w:tcPr>
          <w:p>
            <w:pPr>
              <w:pStyle w:val="Normal"/>
              <w:widowControl/>
              <w:suppressAutoHyphens w:val="true"/>
              <w:spacing w:before="0" w:after="0"/>
              <w:ind w:hanging="109" w:left="109"/>
              <w:jc w:val="left"/>
              <w:rPr>
                <w:rFonts w:ascii="Arial" w:hAnsi="Arial" w:cs="Arial"/>
              </w:rPr>
            </w:pPr>
            <w:r>
              <w:rPr>
                <w:rFonts w:cs="Arial" w:ascii="Arial" w:hAnsi="Arial"/>
              </w:rPr>
            </w:r>
          </w:p>
        </w:tc>
        <w:tc>
          <w:tcPr>
            <w:tcW w:w="5246" w:type="dxa"/>
            <w:tcBorders>
              <w:top w:val="nil"/>
            </w:tcBorders>
            <w:vAlign w:val="center"/>
          </w:tcPr>
          <w:p>
            <w:pPr>
              <w:pStyle w:val="Normal"/>
              <w:suppressAutoHyphens w:val="true"/>
              <w:spacing w:before="0" w:after="0"/>
              <w:jc w:val="both"/>
              <w:rPr>
                <w:rFonts w:ascii="Arial" w:hAnsi="Arial" w:cs="Arial"/>
              </w:rPr>
            </w:pPr>
            <w:r>
              <w:rPr>
                <w:rFonts w:cs="Arial" w:ascii="Arial" w:hAnsi="Arial"/>
              </w:rPr>
              <w:t>Pritaikyta įrangos transportavimui dėžė su GPS imtuvo tvirtinimo laikikliais.</w:t>
            </w:r>
          </w:p>
        </w:tc>
        <w:tc>
          <w:tcPr>
            <w:tcW w:w="5953" w:type="dxa"/>
            <w:tcBorders>
              <w:top w:val="nil"/>
            </w:tcBorders>
          </w:tcPr>
          <w:p>
            <w:pPr>
              <w:pStyle w:val="Normal"/>
              <w:widowControl/>
              <w:suppressAutoHyphens w:val="true"/>
              <w:spacing w:beforeAutospacing="1" w:after="0"/>
              <w:jc w:val="center"/>
              <w:rPr>
                <w:rFonts w:ascii="Arial" w:hAnsi="Arial" w:cs="Arial"/>
                <w:i/>
                <w:i/>
                <w:iCs/>
                <w:color w:val="FF0000"/>
              </w:rPr>
            </w:pPr>
            <w:r>
              <w:rPr>
                <w:rFonts w:cs="Arial" w:ascii="Arial" w:hAnsi="Arial"/>
                <w:i/>
                <w:iCs/>
                <w:color w:val="FF0000"/>
              </w:rPr>
              <w:t>[Įrašo tiekėjas]</w:t>
            </w:r>
          </w:p>
        </w:tc>
      </w:tr>
      <w:tr>
        <w:trPr/>
        <w:tc>
          <w:tcPr>
            <w:tcW w:w="655" w:type="dxa"/>
            <w:tcBorders/>
          </w:tcPr>
          <w:p>
            <w:pPr>
              <w:pStyle w:val="Normal"/>
              <w:widowControl/>
              <w:suppressAutoHyphens w:val="true"/>
              <w:spacing w:beforeAutospacing="1" w:after="0"/>
              <w:jc w:val="both"/>
              <w:rPr>
                <w:rFonts w:ascii="Arial" w:hAnsi="Arial" w:cs="Arial"/>
              </w:rPr>
            </w:pPr>
            <w:r>
              <w:rPr>
                <w:rFonts w:cs="Arial" w:ascii="Arial" w:hAnsi="Arial"/>
                <w:sz w:val="22"/>
                <w:szCs w:val="22"/>
                <w:lang w:val="lt-LT" w:bidi="ar-SA"/>
              </w:rPr>
              <w:t>5</w:t>
            </w:r>
          </w:p>
        </w:tc>
        <w:tc>
          <w:tcPr>
            <w:tcW w:w="2741" w:type="dxa"/>
            <w:tcBorders/>
          </w:tcPr>
          <w:p>
            <w:pPr>
              <w:pStyle w:val="Normal"/>
              <w:widowControl/>
              <w:suppressAutoHyphens w:val="true"/>
              <w:spacing w:before="0" w:after="0"/>
              <w:ind w:hanging="109" w:left="109"/>
              <w:jc w:val="left"/>
              <w:rPr>
                <w:rFonts w:ascii="Arial" w:hAnsi="Arial" w:cs="Arial"/>
              </w:rPr>
            </w:pPr>
            <w:r>
              <w:rPr>
                <w:rFonts w:cs="Arial" w:ascii="Arial" w:hAnsi="Arial"/>
                <w:sz w:val="22"/>
                <w:szCs w:val="22"/>
                <w:lang w:val="lt-LT" w:bidi="ar-SA"/>
              </w:rPr>
              <w:t>Garantija</w:t>
            </w:r>
          </w:p>
        </w:tc>
        <w:tc>
          <w:tcPr>
            <w:tcW w:w="5246" w:type="dxa"/>
            <w:tcBorders/>
            <w:vAlign w:val="center"/>
          </w:tcPr>
          <w:p>
            <w:pPr>
              <w:pStyle w:val="Normal"/>
              <w:widowControl/>
              <w:suppressAutoHyphens w:val="true"/>
              <w:spacing w:before="0" w:after="0"/>
              <w:jc w:val="left"/>
              <w:rPr>
                <w:rFonts w:ascii="Arial" w:hAnsi="Arial" w:cs="Arial"/>
              </w:rPr>
            </w:pPr>
            <w:r>
              <w:rPr>
                <w:rFonts w:cs="Arial" w:ascii="Arial" w:hAnsi="Arial"/>
                <w:sz w:val="22"/>
                <w:szCs w:val="22"/>
                <w:lang w:val="lt-LT" w:bidi="ar-SA"/>
              </w:rPr>
              <w:t>GPS imtuvui turi būti teikiama ne mažiau kaip 2 (dviejų) metų garantija</w:t>
            </w:r>
          </w:p>
        </w:tc>
        <w:tc>
          <w:tcPr>
            <w:tcW w:w="5953" w:type="dxa"/>
            <w:tcBorders/>
          </w:tcPr>
          <w:p>
            <w:pPr>
              <w:pStyle w:val="Normal"/>
              <w:widowControl/>
              <w:suppressAutoHyphens w:val="true"/>
              <w:spacing w:beforeAutospacing="1" w:after="0"/>
              <w:jc w:val="center"/>
              <w:rPr>
                <w:rFonts w:ascii="Arial" w:hAnsi="Arial" w:cs="Arial"/>
                <w:i/>
                <w:i/>
                <w:iCs/>
                <w:color w:val="FF0000"/>
              </w:rPr>
            </w:pPr>
            <w:r>
              <w:rPr>
                <w:rFonts w:cs="Arial" w:ascii="Arial" w:hAnsi="Arial"/>
                <w:i/>
                <w:iCs/>
                <w:color w:val="FF0000"/>
                <w:sz w:val="22"/>
                <w:szCs w:val="22"/>
                <w:lang w:val="lt-LT" w:bidi="ar-SA"/>
              </w:rPr>
              <w:t>[Įrašo tiekėjas]</w:t>
            </w:r>
          </w:p>
        </w:tc>
      </w:tr>
      <w:tr>
        <w:trPr/>
        <w:tc>
          <w:tcPr>
            <w:tcW w:w="655" w:type="dxa"/>
            <w:vMerge w:val="restart"/>
            <w:tcBorders/>
          </w:tcPr>
          <w:p>
            <w:pPr>
              <w:pStyle w:val="Normal"/>
              <w:widowControl/>
              <w:suppressAutoHyphens w:val="true"/>
              <w:spacing w:beforeAutospacing="1" w:after="0"/>
              <w:jc w:val="both"/>
              <w:rPr>
                <w:rFonts w:ascii="Arial" w:hAnsi="Arial" w:cs="Arial"/>
              </w:rPr>
            </w:pPr>
            <w:r>
              <w:rPr>
                <w:rFonts w:cs="Arial" w:ascii="Arial" w:hAnsi="Arial"/>
                <w:sz w:val="22"/>
                <w:szCs w:val="22"/>
                <w:lang w:val="lt-LT" w:bidi="ar-SA"/>
              </w:rPr>
              <w:t>6</w:t>
            </w:r>
          </w:p>
        </w:tc>
        <w:tc>
          <w:tcPr>
            <w:tcW w:w="2741" w:type="dxa"/>
            <w:vMerge w:val="restart"/>
            <w:tcBorders/>
          </w:tcPr>
          <w:p>
            <w:pPr>
              <w:pStyle w:val="Normal"/>
              <w:widowControl/>
              <w:suppressAutoHyphens w:val="true"/>
              <w:spacing w:before="0" w:after="0"/>
              <w:ind w:hanging="109" w:left="109"/>
              <w:jc w:val="left"/>
              <w:rPr>
                <w:rFonts w:ascii="Arial" w:hAnsi="Arial" w:cs="Arial"/>
              </w:rPr>
            </w:pPr>
            <w:r>
              <w:rPr>
                <w:rFonts w:cs="Arial" w:ascii="Arial" w:hAnsi="Arial"/>
                <w:sz w:val="22"/>
                <w:szCs w:val="22"/>
                <w:lang w:val="lt-LT" w:bidi="ar-SA"/>
              </w:rPr>
              <w:t>Mokymai ir techninė dokumentacija</w:t>
            </w:r>
          </w:p>
        </w:tc>
        <w:tc>
          <w:tcPr>
            <w:tcW w:w="5246" w:type="dxa"/>
            <w:tcBorders/>
            <w:vAlign w:val="center"/>
          </w:tcPr>
          <w:p>
            <w:pPr>
              <w:pStyle w:val="Normal"/>
              <w:widowControl/>
              <w:suppressAutoHyphens w:val="true"/>
              <w:spacing w:before="0" w:after="0"/>
              <w:jc w:val="left"/>
              <w:rPr>
                <w:rFonts w:ascii="Arial" w:hAnsi="Arial" w:cs="Arial"/>
              </w:rPr>
            </w:pPr>
            <w:r>
              <w:rPr>
                <w:rFonts w:cs="Arial" w:ascii="Arial" w:hAnsi="Arial"/>
                <w:sz w:val="22"/>
                <w:szCs w:val="22"/>
                <w:lang w:val="lt-LT" w:bidi="ar-SA"/>
              </w:rPr>
              <w:t>Turi būti organizuoti mokymai su Perkančiąja organizacija  suderintu laiku ir būdu, pagal su Perkančiąja organizacija suderintą mokymo programą, mokymo medžiagos turinį ir jos apimtis. Mokymų medžiaga turi būti parengta lietuvių kalba, pateikta elektroninėje formoje spausdinimui pritaikytu formatu arba mokomųjų vaizdo filmų formatu.</w:t>
            </w:r>
          </w:p>
        </w:tc>
        <w:tc>
          <w:tcPr>
            <w:tcW w:w="5953" w:type="dxa"/>
            <w:tcBorders/>
          </w:tcPr>
          <w:p>
            <w:pPr>
              <w:pStyle w:val="Normal"/>
              <w:widowControl/>
              <w:suppressAutoHyphens w:val="true"/>
              <w:spacing w:beforeAutospacing="1" w:after="0"/>
              <w:jc w:val="center"/>
              <w:rPr>
                <w:rFonts w:ascii="Arial" w:hAnsi="Arial" w:cs="Arial"/>
                <w:i/>
                <w:i/>
                <w:iCs/>
                <w:color w:val="FF0000"/>
              </w:rPr>
            </w:pPr>
            <w:r>
              <w:rPr>
                <w:rFonts w:cs="Arial" w:ascii="Arial" w:hAnsi="Arial"/>
                <w:i/>
                <w:iCs/>
                <w:color w:val="FF0000"/>
                <w:sz w:val="22"/>
                <w:szCs w:val="22"/>
                <w:lang w:val="lt-LT" w:bidi="ar-SA"/>
              </w:rPr>
              <w:t>[Įrašo tiekėjas]</w:t>
            </w:r>
          </w:p>
        </w:tc>
      </w:tr>
      <w:tr>
        <w:trPr/>
        <w:tc>
          <w:tcPr>
            <w:tcW w:w="655" w:type="dxa"/>
            <w:vMerge w:val="continue"/>
            <w:tcBorders/>
          </w:tcPr>
          <w:p>
            <w:pPr>
              <w:pStyle w:val="Normal"/>
              <w:widowControl/>
              <w:suppressAutoHyphens w:val="true"/>
              <w:spacing w:beforeAutospacing="1" w:after="0"/>
              <w:jc w:val="both"/>
              <w:rPr>
                <w:rFonts w:ascii="Arial" w:hAnsi="Arial" w:cs="Arial"/>
              </w:rPr>
            </w:pPr>
            <w:r>
              <w:rPr>
                <w:rFonts w:cs="Arial" w:ascii="Arial" w:hAnsi="Arial"/>
              </w:rPr>
            </w:r>
          </w:p>
        </w:tc>
        <w:tc>
          <w:tcPr>
            <w:tcW w:w="2741" w:type="dxa"/>
            <w:vMerge w:val="continue"/>
            <w:tcBorders/>
          </w:tcPr>
          <w:p>
            <w:pPr>
              <w:pStyle w:val="Normal"/>
              <w:widowControl/>
              <w:suppressAutoHyphens w:val="true"/>
              <w:spacing w:before="0" w:after="0"/>
              <w:ind w:hanging="109" w:left="109"/>
              <w:jc w:val="left"/>
              <w:rPr>
                <w:rFonts w:ascii="Arial" w:hAnsi="Arial" w:cs="Arial"/>
              </w:rPr>
            </w:pPr>
            <w:r>
              <w:rPr>
                <w:rFonts w:cs="Arial" w:ascii="Arial" w:hAnsi="Arial"/>
              </w:rPr>
            </w:r>
          </w:p>
        </w:tc>
        <w:tc>
          <w:tcPr>
            <w:tcW w:w="5246" w:type="dxa"/>
            <w:tcBorders/>
            <w:vAlign w:val="center"/>
          </w:tcPr>
          <w:p>
            <w:pPr>
              <w:pStyle w:val="Normal"/>
              <w:widowControl/>
              <w:suppressAutoHyphens w:val="true"/>
              <w:spacing w:before="0" w:after="0"/>
              <w:jc w:val="left"/>
              <w:rPr>
                <w:rFonts w:ascii="Arial" w:hAnsi="Arial" w:cs="Arial"/>
              </w:rPr>
            </w:pPr>
            <w:r>
              <w:rPr>
                <w:rStyle w:val="fontstyle01"/>
                <w:lang w:val="lt-LT" w:bidi="ar-SA"/>
              </w:rPr>
              <w:t>Mokymų metu įrangos teikėjas turi apmokyti naudotojus savarankiškai dirbti su įranga.</w:t>
            </w:r>
          </w:p>
        </w:tc>
        <w:tc>
          <w:tcPr>
            <w:tcW w:w="5953" w:type="dxa"/>
            <w:tcBorders/>
          </w:tcPr>
          <w:p>
            <w:pPr>
              <w:pStyle w:val="Normal"/>
              <w:widowControl/>
              <w:suppressAutoHyphens w:val="true"/>
              <w:spacing w:beforeAutospacing="1" w:after="0"/>
              <w:jc w:val="center"/>
              <w:rPr>
                <w:rFonts w:ascii="Arial" w:hAnsi="Arial" w:cs="Arial"/>
                <w:i/>
                <w:i/>
                <w:iCs/>
                <w:color w:val="FF0000"/>
              </w:rPr>
            </w:pPr>
            <w:r>
              <w:rPr>
                <w:rFonts w:cs="Arial" w:ascii="Arial" w:hAnsi="Arial"/>
                <w:i/>
                <w:iCs/>
                <w:color w:val="FF0000"/>
                <w:sz w:val="22"/>
                <w:szCs w:val="22"/>
                <w:lang w:val="lt-LT" w:bidi="ar-SA"/>
              </w:rPr>
              <w:t>[Įrašo tiekėjas]</w:t>
            </w:r>
          </w:p>
        </w:tc>
      </w:tr>
      <w:tr>
        <w:trPr/>
        <w:tc>
          <w:tcPr>
            <w:tcW w:w="655" w:type="dxa"/>
            <w:vMerge w:val="continue"/>
            <w:tcBorders/>
          </w:tcPr>
          <w:p>
            <w:pPr>
              <w:pStyle w:val="Normal"/>
              <w:widowControl/>
              <w:suppressAutoHyphens w:val="true"/>
              <w:spacing w:beforeAutospacing="1" w:after="0"/>
              <w:jc w:val="both"/>
              <w:rPr>
                <w:rFonts w:ascii="Arial" w:hAnsi="Arial" w:cs="Arial"/>
              </w:rPr>
            </w:pPr>
            <w:r>
              <w:rPr>
                <w:rFonts w:cs="Arial" w:ascii="Arial" w:hAnsi="Arial"/>
              </w:rPr>
            </w:r>
          </w:p>
        </w:tc>
        <w:tc>
          <w:tcPr>
            <w:tcW w:w="2741" w:type="dxa"/>
            <w:vMerge w:val="continue"/>
            <w:tcBorders/>
          </w:tcPr>
          <w:p>
            <w:pPr>
              <w:pStyle w:val="Normal"/>
              <w:widowControl/>
              <w:suppressAutoHyphens w:val="true"/>
              <w:spacing w:before="0" w:after="0"/>
              <w:ind w:hanging="109" w:left="109"/>
              <w:jc w:val="left"/>
              <w:rPr>
                <w:rFonts w:ascii="Arial" w:hAnsi="Arial" w:cs="Arial"/>
              </w:rPr>
            </w:pPr>
            <w:r>
              <w:rPr>
                <w:rFonts w:cs="Arial" w:ascii="Arial" w:hAnsi="Arial"/>
              </w:rPr>
            </w:r>
          </w:p>
        </w:tc>
        <w:tc>
          <w:tcPr>
            <w:tcW w:w="5246" w:type="dxa"/>
            <w:tcBorders/>
            <w:vAlign w:val="center"/>
          </w:tcPr>
          <w:p>
            <w:pPr>
              <w:pStyle w:val="Normal"/>
              <w:widowControl/>
              <w:suppressAutoHyphens w:val="true"/>
              <w:spacing w:before="0" w:after="0"/>
              <w:jc w:val="left"/>
              <w:rPr>
                <w:rFonts w:ascii="Arial" w:hAnsi="Arial" w:cs="Arial"/>
              </w:rPr>
            </w:pPr>
            <w:r>
              <w:rPr>
                <w:rStyle w:val="fontstyle01"/>
                <w:lang w:val="lt-LT" w:bidi="ar-SA"/>
              </w:rPr>
              <w:t>Įrenginių pradinių nustatymų ir parengimo darbui instrukcijos turi būti parengtos lietuvių kalba, pateiktos elektroninėje formoje spausdinimui pritaikytu formatu.</w:t>
            </w:r>
          </w:p>
        </w:tc>
        <w:tc>
          <w:tcPr>
            <w:tcW w:w="5953" w:type="dxa"/>
            <w:tcBorders/>
          </w:tcPr>
          <w:p>
            <w:pPr>
              <w:pStyle w:val="Normal"/>
              <w:widowControl/>
              <w:suppressAutoHyphens w:val="true"/>
              <w:spacing w:beforeAutospacing="1" w:after="0"/>
              <w:jc w:val="center"/>
              <w:rPr>
                <w:rFonts w:ascii="Arial" w:hAnsi="Arial" w:cs="Arial"/>
                <w:i/>
                <w:i/>
                <w:iCs/>
                <w:color w:val="FF0000"/>
              </w:rPr>
            </w:pPr>
            <w:r>
              <w:rPr>
                <w:rFonts w:cs="Arial" w:ascii="Arial" w:hAnsi="Arial"/>
                <w:i/>
                <w:iCs/>
                <w:color w:val="FF0000"/>
                <w:sz w:val="22"/>
                <w:szCs w:val="22"/>
                <w:lang w:val="lt-LT" w:bidi="ar-SA"/>
              </w:rPr>
              <w:t>[Įrašo tiekėjas]</w:t>
            </w:r>
          </w:p>
        </w:tc>
      </w:tr>
      <w:tr>
        <w:trPr/>
        <w:tc>
          <w:tcPr>
            <w:tcW w:w="655" w:type="dxa"/>
            <w:tcBorders/>
          </w:tcPr>
          <w:p>
            <w:pPr>
              <w:pStyle w:val="Normal"/>
              <w:widowControl/>
              <w:suppressAutoHyphens w:val="true"/>
              <w:spacing w:beforeAutospacing="1" w:after="0"/>
              <w:jc w:val="both"/>
              <w:rPr>
                <w:rFonts w:ascii="Arial" w:hAnsi="Arial" w:cs="Arial"/>
              </w:rPr>
            </w:pPr>
            <w:r>
              <w:rPr>
                <w:rFonts w:cs="Arial" w:ascii="Arial" w:hAnsi="Arial"/>
                <w:sz w:val="22"/>
                <w:szCs w:val="22"/>
                <w:lang w:val="lt-LT" w:bidi="ar-SA"/>
              </w:rPr>
              <w:t>‍</w:t>
            </w:r>
          </w:p>
        </w:tc>
        <w:tc>
          <w:tcPr>
            <w:tcW w:w="2741" w:type="dxa"/>
            <w:tcBorders/>
          </w:tcPr>
          <w:p>
            <w:pPr>
              <w:pStyle w:val="Normal"/>
              <w:widowControl/>
              <w:suppressAutoHyphens w:val="true"/>
              <w:spacing w:beforeAutospacing="1" w:after="0"/>
              <w:jc w:val="both"/>
              <w:rPr>
                <w:rFonts w:ascii="Arial" w:hAnsi="Arial" w:cs="Arial"/>
              </w:rPr>
            </w:pPr>
            <w:r>
              <w:rPr>
                <w:rFonts w:cs="Arial" w:ascii="Arial" w:hAnsi="Arial"/>
              </w:rPr>
            </w:r>
          </w:p>
        </w:tc>
        <w:tc>
          <w:tcPr>
            <w:tcW w:w="5246" w:type="dxa"/>
            <w:tcBorders/>
            <w:vAlign w:val="center"/>
          </w:tcPr>
          <w:p>
            <w:pPr>
              <w:pStyle w:val="Normal"/>
              <w:widowControl/>
              <w:suppressAutoHyphens w:val="true"/>
              <w:bidi w:val="0"/>
              <w:spacing w:lineRule="auto" w:line="240" w:before="0" w:after="0"/>
              <w:ind w:right="141"/>
              <w:jc w:val="left"/>
              <w:rPr>
                <w:rFonts w:ascii="Arial" w:hAnsi="Arial" w:cs="Arial"/>
              </w:rPr>
            </w:pPr>
            <w:r>
              <w:rPr>
                <w:rFonts w:cs="Arial" w:ascii="Arial" w:hAnsi="Arial"/>
              </w:rPr>
            </w:r>
          </w:p>
        </w:tc>
        <w:tc>
          <w:tcPr>
            <w:tcW w:w="5953" w:type="dxa"/>
            <w:tcBorders/>
          </w:tcPr>
          <w:p>
            <w:pPr>
              <w:pStyle w:val="Normal"/>
              <w:widowControl/>
              <w:suppressAutoHyphens w:val="true"/>
              <w:spacing w:beforeAutospacing="1" w:after="0"/>
              <w:jc w:val="center"/>
              <w:rPr>
                <w:rFonts w:ascii="Arial" w:hAnsi="Arial" w:cs="Arial"/>
              </w:rPr>
            </w:pPr>
            <w:r>
              <w:rPr>
                <w:rFonts w:cs="Arial" w:ascii="Arial" w:hAnsi="Arial"/>
              </w:rPr>
            </w:r>
          </w:p>
        </w:tc>
      </w:tr>
    </w:tbl>
    <w:p>
      <w:pPr>
        <w:pStyle w:val="Normal"/>
        <w:suppressAutoHyphens w:val="true"/>
        <w:jc w:val="both"/>
        <w:textAlignment w:val="baseline"/>
        <w:rPr>
          <w:rFonts w:ascii="Arial" w:hAnsi="Arial" w:eastAsia="Times New Roman" w:cs="Arial"/>
          <w:bCs/>
          <w:color w:val="auto"/>
          <w:sz w:val="22"/>
          <w:szCs w:val="22"/>
          <w:lang w:eastAsia="en-US"/>
        </w:rPr>
      </w:pPr>
      <w:r>
        <w:rPr>
          <w:rFonts w:eastAsia="Times New Roman" w:cs="Arial" w:ascii="Arial" w:hAnsi="Arial"/>
          <w:b/>
          <w:bCs/>
          <w:color w:val="auto"/>
          <w:sz w:val="22"/>
          <w:szCs w:val="22"/>
          <w:lang w:eastAsia="en-US"/>
        </w:rPr>
        <w:t xml:space="preserve">DĖMESIO: </w:t>
      </w:r>
      <w:r>
        <w:rPr>
          <w:rFonts w:eastAsia="Times New Roman" w:cs="Arial" w:ascii="Arial" w:hAnsi="Arial"/>
          <w:bCs/>
          <w:color w:val="auto"/>
          <w:sz w:val="22"/>
          <w:szCs w:val="22"/>
          <w:lang w:eastAsia="en-US"/>
        </w:rPr>
        <w:t xml:space="preserve">Teikdamas pasiūlymą tiekėjas turi įvardinti konkrečius siūlomos prekės modelius. Kartu su pasiūlymu tiekėjas privalo </w:t>
      </w:r>
      <w:r>
        <w:rPr>
          <w:rFonts w:eastAsia="Times New Roman" w:cs="Arial" w:ascii="Arial" w:hAnsi="Arial"/>
          <w:b/>
          <w:bCs/>
          <w:color w:val="auto"/>
          <w:sz w:val="22"/>
          <w:szCs w:val="22"/>
          <w:lang w:eastAsia="en-US"/>
        </w:rPr>
        <w:t>pateikti parametrų reikšmes įrodančius prekės gamintojo dokumentus</w:t>
      </w:r>
      <w:r>
        <w:rPr>
          <w:rFonts w:eastAsia="Times New Roman" w:cs="Arial" w:ascii="Arial" w:hAnsi="Arial"/>
          <w:bCs/>
          <w:color w:val="auto"/>
          <w:sz w:val="22"/>
          <w:szCs w:val="22"/>
          <w:lang w:eastAsia="en-US"/>
        </w:rPr>
        <w:t xml:space="preserve">, tiems techninių parametrų punktams, kurie prekės gamintojų </w:t>
      </w:r>
      <w:r>
        <w:rPr>
          <w:rFonts w:eastAsia="Times New Roman" w:cs="Arial" w:ascii="Arial" w:hAnsi="Arial"/>
          <w:b/>
          <w:bCs/>
          <w:color w:val="auto"/>
          <w:sz w:val="22"/>
          <w:szCs w:val="22"/>
          <w:lang w:eastAsia="en-US"/>
        </w:rPr>
        <w:t xml:space="preserve">nėra viešai deklaruojami jų skelbiamuose tinklalapiuose. </w:t>
      </w:r>
      <w:r>
        <w:rPr>
          <w:rFonts w:eastAsia="Times New Roman" w:cs="Arial" w:ascii="Arial" w:hAnsi="Arial"/>
          <w:bCs/>
          <w:color w:val="auto"/>
          <w:sz w:val="22"/>
          <w:szCs w:val="22"/>
          <w:lang w:eastAsia="en-US"/>
        </w:rPr>
        <w:t xml:space="preserve">Duomenys pateikti tiekėjo dokumentuose ir viešai skelbiami duomenys turi sutapti. Esant nesutapimams tinkama informacija laikoma tiekėjo dokumentuose.  </w:t>
      </w:r>
    </w:p>
    <w:p>
      <w:pPr>
        <w:pStyle w:val="Normal"/>
        <w:suppressAutoHyphens w:val="true"/>
        <w:jc w:val="both"/>
        <w:textAlignment w:val="baseline"/>
        <w:rPr>
          <w:rFonts w:ascii="Arial" w:hAnsi="Arial" w:eastAsia="Times New Roman" w:cs="Arial"/>
          <w:bCs/>
          <w:color w:val="auto"/>
          <w:sz w:val="22"/>
          <w:szCs w:val="22"/>
          <w:lang w:eastAsia="en-US"/>
        </w:rPr>
      </w:pPr>
      <w:r>
        <w:rPr>
          <w:rFonts w:eastAsia="Times New Roman" w:cs="Arial" w:ascii="Arial" w:hAnsi="Arial"/>
          <w:bCs/>
          <w:color w:val="auto"/>
          <w:sz w:val="22"/>
          <w:szCs w:val="22"/>
          <w:lang w:eastAsia="en-US"/>
        </w:rPr>
      </w:r>
    </w:p>
    <w:p>
      <w:pPr>
        <w:pStyle w:val="Normal"/>
        <w:suppressAutoHyphens w:val="true"/>
        <w:jc w:val="both"/>
        <w:textAlignment w:val="baseline"/>
        <w:rPr>
          <w:rFonts w:ascii="Times New Roman" w:hAnsi="Times New Roman" w:eastAsia="Times New Roman" w:cs="Times New Roman"/>
          <w:color w:val="auto"/>
          <w:lang w:val="en-US" w:eastAsia="en-US"/>
        </w:rPr>
      </w:pPr>
      <w:r>
        <w:rPr>
          <w:rFonts w:eastAsia="Times New Roman" w:cs="Arial" w:ascii="Arial" w:hAnsi="Arial"/>
          <w:bCs/>
          <w:color w:val="auto"/>
          <w:sz w:val="22"/>
          <w:szCs w:val="22"/>
          <w:lang w:eastAsia="en-US"/>
        </w:rPr>
        <w:t>Jei nurodoma internetinė nuoroda, ją atsidarius, turėtų būti pateikiama/matoma tik tam parametrui aktuali informacija. Jei atsidarius internetinę nuorodą nėra informacijos aktualios konkrečiam parametrui, tiekėjas privalo patikslinti informaciją.</w:t>
      </w:r>
    </w:p>
    <w:p>
      <w:pPr>
        <w:pStyle w:val="Normal"/>
        <w:suppressAutoHyphens w:val="true"/>
        <w:jc w:val="both"/>
        <w:textAlignment w:val="baseline"/>
        <w:rPr>
          <w:rFonts w:ascii="Arial" w:hAnsi="Arial" w:eastAsia="Calibri" w:cs="Arial"/>
          <w:iCs/>
          <w:color w:val="auto"/>
          <w:sz w:val="22"/>
          <w:szCs w:val="22"/>
          <w:lang w:eastAsia="en-US"/>
        </w:rPr>
      </w:pPr>
      <w:r>
        <w:rPr>
          <w:rFonts w:eastAsia="Calibri" w:cs="Arial" w:ascii="Arial" w:hAnsi="Arial"/>
          <w:iCs/>
          <w:color w:val="auto"/>
          <w:sz w:val="22"/>
          <w:szCs w:val="22"/>
          <w:lang w:eastAsia="en-US"/>
        </w:rPr>
      </w:r>
    </w:p>
    <w:p>
      <w:pPr>
        <w:pStyle w:val="Normal"/>
        <w:suppressAutoHyphens w:val="true"/>
        <w:jc w:val="both"/>
        <w:textAlignment w:val="baseline"/>
        <w:rPr>
          <w:rFonts w:ascii="Times New Roman" w:hAnsi="Times New Roman" w:eastAsia="Times New Roman" w:cs="Times New Roman"/>
          <w:color w:val="auto"/>
          <w:lang w:val="en-US" w:eastAsia="en-US"/>
        </w:rPr>
      </w:pPr>
      <w:r>
        <w:rPr>
          <w:rFonts w:eastAsia="Calibri" w:cs="Arial" w:ascii="Arial" w:hAnsi="Arial"/>
          <w:iCs/>
          <w:color w:val="auto"/>
          <w:sz w:val="22"/>
          <w:szCs w:val="22"/>
          <w:lang w:eastAsia="en-US"/>
        </w:rPr>
        <w:t>Visoms nurodytoms konkrečioms medžiagoms ir/ar konkretiems prekių pavadinimams taikoma „arba lygiavertis“. Tiekėjas, siūlantis prekę, pasižyminčią geresniais techniniais rodikliais arba lygiavertėmis savybėmis nei minimali reikšmė, privalo patikimomis priemonėmis ir dokumentais (lietuvių kalba) įrodyti, kad siūloma prekė atitinka techninio rodiklio reikšmes arba yra lygiavertė ir visiškai atitinka techninėje specifikacijoje keliamus reikalavimus.</w:t>
      </w:r>
      <w:r>
        <w:rPr>
          <w:rFonts w:eastAsia="Calibri" w:cs="Arial" w:ascii="Arial" w:hAnsi="Arial"/>
          <w:iCs/>
          <w:color w:val="FF0000"/>
          <w:sz w:val="22"/>
          <w:szCs w:val="22"/>
          <w:lang w:eastAsia="en-US"/>
        </w:rPr>
        <w:t xml:space="preserve"> </w:t>
      </w:r>
    </w:p>
    <w:p>
      <w:pPr>
        <w:pStyle w:val="Normal"/>
        <w:suppressAutoHyphens w:val="true"/>
        <w:jc w:val="center"/>
        <w:textAlignment w:val="baseline"/>
        <w:rPr>
          <w:rFonts w:ascii="Arial" w:hAnsi="Arial" w:eastAsia="Times New Roman" w:cs="Arial"/>
          <w:color w:val="auto"/>
          <w:sz w:val="22"/>
          <w:szCs w:val="22"/>
          <w:lang w:eastAsia="en-US"/>
        </w:rPr>
      </w:pPr>
      <w:r>
        <w:rPr>
          <w:rFonts w:eastAsia="Times New Roman" w:cs="Arial" w:ascii="Arial" w:hAnsi="Arial"/>
          <w:color w:val="auto"/>
          <w:sz w:val="22"/>
          <w:szCs w:val="22"/>
          <w:lang w:eastAsia="en-US"/>
        </w:rPr>
      </w:r>
    </w:p>
    <w:p>
      <w:pPr>
        <w:pStyle w:val="Normal"/>
        <w:rPr/>
      </w:pPr>
      <w:r>
        <w:rPr/>
      </w:r>
    </w:p>
    <w:p>
      <w:pPr>
        <w:pStyle w:val="Normal"/>
        <w:widowControl w:val="false"/>
        <w:suppressAutoHyphens w:val="true"/>
        <w:jc w:val="both"/>
        <w:textAlignment w:val="baseline"/>
        <w:rPr/>
      </w:pPr>
      <w:r>
        <w:rPr/>
      </w:r>
    </w:p>
    <w:p>
      <w:pPr>
        <w:pStyle w:val="Normal"/>
        <w:widowControl w:val="false"/>
        <w:suppressAutoHyphens w:val="true"/>
        <w:jc w:val="both"/>
        <w:textAlignment w:val="baseline"/>
        <w:rPr>
          <w:rFonts w:ascii="Arial" w:hAnsi="Arial" w:cs="Arial"/>
          <w:sz w:val="22"/>
          <w:szCs w:val="22"/>
        </w:rPr>
      </w:pPr>
      <w:r>
        <w:rPr/>
        <w:tab/>
      </w:r>
    </w:p>
    <w:tbl>
      <w:tblPr>
        <w:tblStyle w:val="Lentelstinklelis"/>
        <w:tblW w:w="9962"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5382"/>
        <w:gridCol w:w="850"/>
        <w:gridCol w:w="3730"/>
      </w:tblGrid>
      <w:tr>
        <w:trPr/>
        <w:tc>
          <w:tcPr>
            <w:tcW w:w="5382" w:type="dxa"/>
            <w:tcBorders>
              <w:top w:val="nil"/>
              <w:left w:val="nil"/>
              <w:right w:val="nil"/>
            </w:tcBorders>
          </w:tcPr>
          <w:p>
            <w:pPr>
              <w:pStyle w:val="Normal"/>
              <w:widowControl w:val="false"/>
              <w:suppressAutoHyphens w:val="true"/>
              <w:spacing w:before="0" w:after="0"/>
              <w:jc w:val="center"/>
              <w:textAlignment w:val="baseline"/>
              <w:rPr>
                <w:rFonts w:ascii="Arial" w:hAnsi="Arial" w:cs="Arial"/>
              </w:rPr>
            </w:pPr>
            <w:r>
              <w:rPr>
                <w:rFonts w:cs="Arial" w:ascii="Arial" w:hAnsi="Arial"/>
              </w:rPr>
            </w:r>
          </w:p>
        </w:tc>
        <w:tc>
          <w:tcPr>
            <w:tcW w:w="850" w:type="dxa"/>
            <w:tcBorders>
              <w:top w:val="nil"/>
              <w:left w:val="nil"/>
              <w:bottom w:val="nil"/>
              <w:right w:val="nil"/>
            </w:tcBorders>
          </w:tcPr>
          <w:p>
            <w:pPr>
              <w:pStyle w:val="Normal"/>
              <w:widowControl w:val="false"/>
              <w:suppressAutoHyphens w:val="true"/>
              <w:spacing w:before="0" w:after="0"/>
              <w:jc w:val="center"/>
              <w:textAlignment w:val="baseline"/>
              <w:rPr>
                <w:rFonts w:ascii="Arial" w:hAnsi="Arial" w:cs="Arial"/>
              </w:rPr>
            </w:pPr>
            <w:r>
              <w:rPr>
                <w:rFonts w:cs="Arial" w:ascii="Arial" w:hAnsi="Arial"/>
              </w:rPr>
            </w:r>
          </w:p>
        </w:tc>
        <w:tc>
          <w:tcPr>
            <w:tcW w:w="3730" w:type="dxa"/>
            <w:tcBorders>
              <w:top w:val="nil"/>
              <w:left w:val="nil"/>
              <w:right w:val="nil"/>
            </w:tcBorders>
          </w:tcPr>
          <w:p>
            <w:pPr>
              <w:pStyle w:val="Normal"/>
              <w:widowControl w:val="false"/>
              <w:suppressAutoHyphens w:val="true"/>
              <w:spacing w:before="0" w:after="0"/>
              <w:jc w:val="center"/>
              <w:textAlignment w:val="baseline"/>
              <w:rPr>
                <w:rFonts w:ascii="Arial" w:hAnsi="Arial" w:cs="Arial"/>
              </w:rPr>
            </w:pPr>
            <w:r>
              <w:rPr>
                <w:rFonts w:cs="Arial" w:ascii="Arial" w:hAnsi="Arial"/>
              </w:rPr>
            </w:r>
          </w:p>
        </w:tc>
      </w:tr>
      <w:tr>
        <w:trPr/>
        <w:tc>
          <w:tcPr>
            <w:tcW w:w="5382" w:type="dxa"/>
            <w:tcBorders>
              <w:left w:val="nil"/>
              <w:bottom w:val="nil"/>
              <w:right w:val="nil"/>
            </w:tcBorders>
          </w:tcPr>
          <w:p>
            <w:pPr>
              <w:pStyle w:val="Normal"/>
              <w:widowControl w:val="false"/>
              <w:suppressAutoHyphens w:val="true"/>
              <w:spacing w:before="0" w:after="0"/>
              <w:jc w:val="center"/>
              <w:textAlignment w:val="baseline"/>
              <w:rPr>
                <w:rFonts w:ascii="Arial" w:hAnsi="Arial" w:cs="Arial"/>
                <w:i/>
                <w:i/>
                <w:iCs/>
              </w:rPr>
            </w:pPr>
            <w:r>
              <w:rPr>
                <w:rFonts w:cs="Arial" w:ascii="Arial" w:hAnsi="Arial"/>
                <w:i/>
                <w:iCs/>
                <w:sz w:val="22"/>
                <w:szCs w:val="22"/>
                <w:lang w:val="lt-LT" w:bidi="ar-SA"/>
              </w:rPr>
              <w:t>(pareigos, vardas, pavardė)</w:t>
            </w:r>
          </w:p>
        </w:tc>
        <w:tc>
          <w:tcPr>
            <w:tcW w:w="850" w:type="dxa"/>
            <w:tcBorders>
              <w:top w:val="nil"/>
              <w:left w:val="nil"/>
              <w:bottom w:val="nil"/>
              <w:right w:val="nil"/>
            </w:tcBorders>
          </w:tcPr>
          <w:p>
            <w:pPr>
              <w:pStyle w:val="Normal"/>
              <w:widowControl w:val="false"/>
              <w:suppressAutoHyphens w:val="true"/>
              <w:spacing w:before="0" w:after="0"/>
              <w:jc w:val="center"/>
              <w:textAlignment w:val="baseline"/>
              <w:rPr>
                <w:rFonts w:ascii="Arial" w:hAnsi="Arial" w:cs="Arial"/>
                <w:i/>
                <w:i/>
                <w:iCs/>
              </w:rPr>
            </w:pPr>
            <w:r>
              <w:rPr>
                <w:rFonts w:cs="Arial" w:ascii="Arial" w:hAnsi="Arial"/>
                <w:i/>
                <w:iCs/>
              </w:rPr>
            </w:r>
          </w:p>
        </w:tc>
        <w:tc>
          <w:tcPr>
            <w:tcW w:w="3730" w:type="dxa"/>
            <w:tcBorders>
              <w:left w:val="nil"/>
              <w:bottom w:val="nil"/>
              <w:right w:val="nil"/>
            </w:tcBorders>
          </w:tcPr>
          <w:p>
            <w:pPr>
              <w:pStyle w:val="Normal"/>
              <w:widowControl w:val="false"/>
              <w:suppressAutoHyphens w:val="true"/>
              <w:spacing w:before="0" w:after="0"/>
              <w:jc w:val="center"/>
              <w:textAlignment w:val="baseline"/>
              <w:rPr>
                <w:rFonts w:ascii="Arial" w:hAnsi="Arial" w:cs="Arial"/>
                <w:i/>
                <w:i/>
                <w:iCs/>
              </w:rPr>
            </w:pPr>
            <w:r>
              <w:rPr>
                <w:rFonts w:cs="Arial" w:ascii="Arial" w:hAnsi="Arial"/>
                <w:i/>
                <w:iCs/>
                <w:sz w:val="22"/>
                <w:szCs w:val="22"/>
                <w:lang w:val="lt-LT" w:bidi="ar-SA"/>
              </w:rPr>
              <w:t>(parašas)</w:t>
            </w:r>
          </w:p>
        </w:tc>
      </w:tr>
    </w:tbl>
    <w:p>
      <w:pPr>
        <w:pStyle w:val="Normal"/>
        <w:widowControl w:val="false"/>
        <w:suppressAutoHyphens w:val="true"/>
        <w:jc w:val="center"/>
        <w:textAlignment w:val="baseline"/>
        <w:rPr>
          <w:rFonts w:ascii="Arial" w:hAnsi="Arial" w:cs="Arial"/>
          <w:sz w:val="22"/>
          <w:szCs w:val="22"/>
        </w:rPr>
      </w:pPr>
      <w:r>
        <w:rPr>
          <w:rFonts w:cs="Arial" w:ascii="Arial" w:hAnsi="Arial"/>
          <w:sz w:val="22"/>
          <w:szCs w:val="22"/>
        </w:rPr>
      </w:r>
    </w:p>
    <w:p>
      <w:pPr>
        <w:pStyle w:val="Normal"/>
        <w:tabs>
          <w:tab w:val="clear" w:pos="1296"/>
          <w:tab w:val="left" w:pos="4590" w:leader="none"/>
        </w:tabs>
        <w:rPr/>
      </w:pPr>
      <w:r>
        <w:rPr/>
      </w:r>
    </w:p>
    <w:sectPr>
      <w:headerReference w:type="even" r:id="rId2"/>
      <w:headerReference w:type="default" r:id="rId3"/>
      <w:headerReference w:type="first" r:id="rId4"/>
      <w:type w:val="nextPage"/>
      <w:pgSz w:orient="landscape" w:w="16838" w:h="11906"/>
      <w:pgMar w:left="1134" w:right="1103" w:gutter="0" w:header="567" w:top="1276" w:footer="0" w:bottom="56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ptos">
    <w:charset w:val="00"/>
    <w:family w:val="roman"/>
    <w:pitch w:val="variable"/>
  </w:font>
  <w:font w:name="Arial Unicode MS">
    <w:charset w:val="00"/>
    <w:family w:val="roman"/>
    <w:pitch w:val="variable"/>
  </w:font>
  <w:font w:name="Aptos Display">
    <w:charset w:val="00"/>
    <w:family w:val="roman"/>
    <w:pitch w:val="variable"/>
  </w:font>
  <w:font w:name="ArialMT">
    <w:charset w:val="00"/>
    <w:family w:val="roman"/>
    <w:pitch w:val="variable"/>
  </w:font>
  <w:font w:name="Liberation Sans">
    <w:altName w:val="Arial"/>
    <w:charset w:val="00"/>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cs="Arial"/>
        <w:sz w:val="22"/>
        <w:szCs w:val="22"/>
      </w:rPr>
    </w:pPr>
    <w:r>
      <w:rPr>
        <w:rFonts w:cs="Arial" w:ascii="Arial" w:hAnsi="Arial"/>
        <w:sz w:val="22"/>
        <w:szCs w:val="22"/>
      </w:rPr>
      <w:t>1 priedo 1 priedas „Palyginamoji lentelė“</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cs="Arial"/>
        <w:sz w:val="22"/>
        <w:szCs w:val="22"/>
      </w:rPr>
    </w:pPr>
    <w:r>
      <w:rPr>
        <w:rFonts w:cs="Arial" w:ascii="Arial" w:hAnsi="Arial"/>
        <w:sz w:val="22"/>
        <w:szCs w:val="22"/>
      </w:rPr>
      <w:t>1 priedo 1 priedas „Palyginamoji lentelė“</w:t>
    </w:r>
  </w:p>
</w:hdr>
</file>

<file path=word/settings.xml><?xml version="1.0" encoding="utf-8"?>
<w:settings xmlns:w="http://schemas.openxmlformats.org/wordprocessingml/2006/main">
  <w:zoom w:percent="120"/>
  <w:trackRevisions/>
  <w:defaultTabStop w:val="1296"/>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 w:asciiTheme="minorHAnsi" w:cstheme="minorBidi" w:eastAsiaTheme="minorHAnsi" w:hAnsiTheme="minorHAnsi"/>
        <w:kern w:val="2"/>
        <w:sz w:val="24"/>
        <w:szCs w:val="24"/>
        <w:lang w:val="lt-LT"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a32f1"/>
    <w:pPr>
      <w:widowControl/>
      <w:suppressAutoHyphens w:val="true"/>
      <w:bidi w:val="0"/>
      <w:spacing w:lineRule="auto" w:line="240" w:before="0" w:after="0"/>
      <w:jc w:val="left"/>
    </w:pPr>
    <w:rPr>
      <w:rFonts w:ascii="Arial Unicode MS" w:hAnsi="Arial Unicode MS" w:eastAsia="Arial Unicode MS" w:cs="Arial Unicode MS"/>
      <w:color w:val="000000"/>
      <w:kern w:val="0"/>
      <w:sz w:val="24"/>
      <w:szCs w:val="24"/>
      <w:lang w:val="lt-LT" w:eastAsia="lt-LT" w:bidi="ar-SA"/>
      <w14:ligatures w14:val="none"/>
    </w:rPr>
  </w:style>
  <w:style w:type="paragraph" w:styleId="Heading1">
    <w:name w:val="heading 1"/>
    <w:basedOn w:val="Normal"/>
    <w:next w:val="Normal"/>
    <w:link w:val="Antrat1Diagrama"/>
    <w:uiPriority w:val="9"/>
    <w:qFormat/>
    <w:rsid w:val="00fa32f1"/>
    <w:pPr>
      <w:keepNext w:val="true"/>
      <w:keepLines/>
      <w:spacing w:before="360" w:after="80"/>
      <w:outlineLvl w:val="0"/>
    </w:pPr>
    <w:rPr>
      <w:rFonts w:ascii="Aptos Display" w:hAnsi="Aptos Display" w:eastAsia="" w:cs="" w:asciiTheme="majorHAnsi" w:cstheme="majorBidi" w:eastAsiaTheme="majorEastAsia" w:hAnsiTheme="majorHAnsi"/>
      <w:color w:themeColor="accent1" w:themeShade="bf" w:val="0F4761"/>
      <w:sz w:val="40"/>
      <w:szCs w:val="40"/>
    </w:rPr>
  </w:style>
  <w:style w:type="paragraph" w:styleId="Heading2">
    <w:name w:val="heading 2"/>
    <w:basedOn w:val="Normal"/>
    <w:next w:val="Normal"/>
    <w:link w:val="Antrat2Diagrama"/>
    <w:uiPriority w:val="9"/>
    <w:semiHidden/>
    <w:unhideWhenUsed/>
    <w:qFormat/>
    <w:rsid w:val="00fa32f1"/>
    <w:pPr>
      <w:keepNext w:val="true"/>
      <w:keepLines/>
      <w:spacing w:before="160" w:after="80"/>
      <w:outlineLvl w:val="1"/>
    </w:pPr>
    <w:rPr>
      <w:rFonts w:ascii="Aptos Display" w:hAnsi="Aptos Display" w:eastAsia="" w:cs="" w:asciiTheme="majorHAnsi" w:cstheme="majorBidi" w:eastAsiaTheme="majorEastAsia" w:hAnsiTheme="majorHAnsi"/>
      <w:color w:themeColor="accent1" w:themeShade="bf" w:val="0F4761"/>
      <w:sz w:val="32"/>
      <w:szCs w:val="32"/>
    </w:rPr>
  </w:style>
  <w:style w:type="paragraph" w:styleId="Heading3">
    <w:name w:val="heading 3"/>
    <w:basedOn w:val="Normal"/>
    <w:next w:val="Normal"/>
    <w:link w:val="Antrat3Diagrama"/>
    <w:uiPriority w:val="9"/>
    <w:semiHidden/>
    <w:unhideWhenUsed/>
    <w:qFormat/>
    <w:rsid w:val="00fa32f1"/>
    <w:pPr>
      <w:keepNext w:val="true"/>
      <w:keepLines/>
      <w:spacing w:before="160" w:after="80"/>
      <w:outlineLvl w:val="2"/>
    </w:pPr>
    <w:rPr>
      <w:rFonts w:eastAsia="" w:cs="" w:cstheme="majorBidi" w:eastAsiaTheme="majorEastAsia"/>
      <w:color w:themeColor="accent1" w:themeShade="bf" w:val="0F4761"/>
      <w:sz w:val="28"/>
      <w:szCs w:val="28"/>
    </w:rPr>
  </w:style>
  <w:style w:type="paragraph" w:styleId="Heading4">
    <w:name w:val="heading 4"/>
    <w:basedOn w:val="Normal"/>
    <w:next w:val="Normal"/>
    <w:link w:val="Antrat4Diagrama"/>
    <w:uiPriority w:val="9"/>
    <w:semiHidden/>
    <w:unhideWhenUsed/>
    <w:qFormat/>
    <w:rsid w:val="00fa32f1"/>
    <w:pPr>
      <w:keepNext w:val="true"/>
      <w:keepLines/>
      <w:spacing w:before="80" w:after="40"/>
      <w:outlineLvl w:val="3"/>
    </w:pPr>
    <w:rPr>
      <w:rFonts w:eastAsia="" w:cs="" w:cstheme="majorBidi" w:eastAsiaTheme="majorEastAsia"/>
      <w:i/>
      <w:iCs/>
      <w:color w:themeColor="accent1" w:themeShade="bf" w:val="0F4761"/>
    </w:rPr>
  </w:style>
  <w:style w:type="paragraph" w:styleId="Heading5">
    <w:name w:val="heading 5"/>
    <w:basedOn w:val="Normal"/>
    <w:next w:val="Normal"/>
    <w:link w:val="Antrat5Diagrama"/>
    <w:uiPriority w:val="9"/>
    <w:semiHidden/>
    <w:unhideWhenUsed/>
    <w:qFormat/>
    <w:rsid w:val="00fa32f1"/>
    <w:pPr>
      <w:keepNext w:val="true"/>
      <w:keepLines/>
      <w:spacing w:before="80" w:after="40"/>
      <w:outlineLvl w:val="4"/>
    </w:pPr>
    <w:rPr>
      <w:rFonts w:eastAsia="" w:cs="" w:cstheme="majorBidi" w:eastAsiaTheme="majorEastAsia"/>
      <w:color w:themeColor="accent1" w:themeShade="bf" w:val="0F4761"/>
    </w:rPr>
  </w:style>
  <w:style w:type="paragraph" w:styleId="Heading6">
    <w:name w:val="heading 6"/>
    <w:basedOn w:val="Normal"/>
    <w:next w:val="Normal"/>
    <w:link w:val="Antrat6Diagrama"/>
    <w:uiPriority w:val="9"/>
    <w:semiHidden/>
    <w:unhideWhenUsed/>
    <w:qFormat/>
    <w:rsid w:val="00fa32f1"/>
    <w:pPr>
      <w:keepNext w:val="true"/>
      <w:keepLines/>
      <w:spacing w:before="40" w:after="0"/>
      <w:outlineLvl w:val="5"/>
    </w:pPr>
    <w:rPr>
      <w:rFonts w:eastAsia="" w:cs="" w:cstheme="majorBidi" w:eastAsiaTheme="majorEastAsia"/>
      <w:i/>
      <w:iCs/>
      <w:color w:themeColor="text1" w:themeTint="a6" w:val="595959"/>
    </w:rPr>
  </w:style>
  <w:style w:type="paragraph" w:styleId="Heading7">
    <w:name w:val="heading 7"/>
    <w:basedOn w:val="Normal"/>
    <w:next w:val="Normal"/>
    <w:link w:val="Antrat7Diagrama"/>
    <w:uiPriority w:val="9"/>
    <w:semiHidden/>
    <w:unhideWhenUsed/>
    <w:qFormat/>
    <w:rsid w:val="00fa32f1"/>
    <w:pPr>
      <w:keepNext w:val="true"/>
      <w:keepLines/>
      <w:spacing w:before="40" w:after="0"/>
      <w:outlineLvl w:val="6"/>
    </w:pPr>
    <w:rPr>
      <w:rFonts w:eastAsia="" w:cs="" w:cstheme="majorBidi" w:eastAsiaTheme="majorEastAsia"/>
      <w:color w:themeColor="text1" w:themeTint="a6" w:val="595959"/>
    </w:rPr>
  </w:style>
  <w:style w:type="paragraph" w:styleId="Heading8">
    <w:name w:val="heading 8"/>
    <w:basedOn w:val="Normal"/>
    <w:next w:val="Normal"/>
    <w:link w:val="Antrat8Diagrama"/>
    <w:uiPriority w:val="9"/>
    <w:semiHidden/>
    <w:unhideWhenUsed/>
    <w:qFormat/>
    <w:rsid w:val="00fa32f1"/>
    <w:pPr>
      <w:keepNext w:val="true"/>
      <w:keepLines/>
      <w:outlineLvl w:val="7"/>
    </w:pPr>
    <w:rPr>
      <w:rFonts w:eastAsia="" w:cs="" w:cstheme="majorBidi" w:eastAsiaTheme="majorEastAsia"/>
      <w:i/>
      <w:iCs/>
      <w:color w:themeColor="text1" w:themeTint="d8" w:val="272727"/>
    </w:rPr>
  </w:style>
  <w:style w:type="paragraph" w:styleId="Heading9">
    <w:name w:val="heading 9"/>
    <w:basedOn w:val="Normal"/>
    <w:next w:val="Normal"/>
    <w:link w:val="Antrat9Diagrama"/>
    <w:uiPriority w:val="9"/>
    <w:semiHidden/>
    <w:unhideWhenUsed/>
    <w:qFormat/>
    <w:rsid w:val="00fa32f1"/>
    <w:pPr>
      <w:keepNext w:val="true"/>
      <w:keepLines/>
      <w:outlineLvl w:val="8"/>
    </w:pPr>
    <w:rPr>
      <w:rFonts w:eastAsia="" w:cs="" w:cstheme="majorBidi" w:eastAsiaTheme="majorEastAsia"/>
      <w:color w:themeColor="text1" w:themeTint="d8" w:val="272727"/>
    </w:rPr>
  </w:style>
  <w:style w:type="character" w:styleId="DefaultParagraphFont" w:default="1">
    <w:name w:val="Default Paragraph Font"/>
    <w:uiPriority w:val="1"/>
    <w:semiHidden/>
    <w:unhideWhenUsed/>
    <w:qFormat/>
    <w:rPr/>
  </w:style>
  <w:style w:type="character" w:styleId="Antrat1Diagrama" w:customStyle="1">
    <w:name w:val="Antraštė 1 Diagrama"/>
    <w:basedOn w:val="DefaultParagraphFont"/>
    <w:uiPriority w:val="9"/>
    <w:qFormat/>
    <w:rsid w:val="00fa32f1"/>
    <w:rPr>
      <w:rFonts w:ascii="Aptos Display" w:hAnsi="Aptos Display" w:eastAsia="" w:cs="" w:asciiTheme="majorHAnsi" w:cstheme="majorBidi" w:eastAsiaTheme="majorEastAsia" w:hAnsiTheme="majorHAnsi"/>
      <w:color w:themeColor="accent1" w:themeShade="bf" w:val="0F4761"/>
      <w:sz w:val="40"/>
      <w:szCs w:val="40"/>
    </w:rPr>
  </w:style>
  <w:style w:type="character" w:styleId="Antrat2Diagrama" w:customStyle="1">
    <w:name w:val="Antraštė 2 Diagrama"/>
    <w:basedOn w:val="DefaultParagraphFont"/>
    <w:uiPriority w:val="9"/>
    <w:semiHidden/>
    <w:qFormat/>
    <w:rsid w:val="00fa32f1"/>
    <w:rPr>
      <w:rFonts w:ascii="Aptos Display" w:hAnsi="Aptos Display" w:eastAsia="" w:cs="" w:asciiTheme="majorHAnsi" w:cstheme="majorBidi" w:eastAsiaTheme="majorEastAsia" w:hAnsiTheme="majorHAnsi"/>
      <w:color w:themeColor="accent1" w:themeShade="bf" w:val="0F4761"/>
      <w:sz w:val="32"/>
      <w:szCs w:val="32"/>
    </w:rPr>
  </w:style>
  <w:style w:type="character" w:styleId="Antrat3Diagrama" w:customStyle="1">
    <w:name w:val="Antraštė 3 Diagrama"/>
    <w:basedOn w:val="DefaultParagraphFont"/>
    <w:uiPriority w:val="9"/>
    <w:semiHidden/>
    <w:qFormat/>
    <w:rsid w:val="00fa32f1"/>
    <w:rPr>
      <w:rFonts w:eastAsia="" w:cs="" w:cstheme="majorBidi" w:eastAsiaTheme="majorEastAsia"/>
      <w:color w:themeColor="accent1" w:themeShade="bf" w:val="0F4761"/>
      <w:sz w:val="28"/>
      <w:szCs w:val="28"/>
    </w:rPr>
  </w:style>
  <w:style w:type="character" w:styleId="Antrat4Diagrama" w:customStyle="1">
    <w:name w:val="Antraštė 4 Diagrama"/>
    <w:basedOn w:val="DefaultParagraphFont"/>
    <w:uiPriority w:val="9"/>
    <w:semiHidden/>
    <w:qFormat/>
    <w:rsid w:val="00fa32f1"/>
    <w:rPr>
      <w:rFonts w:eastAsia="" w:cs="" w:cstheme="majorBidi" w:eastAsiaTheme="majorEastAsia"/>
      <w:i/>
      <w:iCs/>
      <w:color w:themeColor="accent1" w:themeShade="bf" w:val="0F4761"/>
    </w:rPr>
  </w:style>
  <w:style w:type="character" w:styleId="Antrat5Diagrama" w:customStyle="1">
    <w:name w:val="Antraštė 5 Diagrama"/>
    <w:basedOn w:val="DefaultParagraphFont"/>
    <w:uiPriority w:val="9"/>
    <w:semiHidden/>
    <w:qFormat/>
    <w:rsid w:val="00fa32f1"/>
    <w:rPr>
      <w:rFonts w:eastAsia="" w:cs="" w:cstheme="majorBidi" w:eastAsiaTheme="majorEastAsia"/>
      <w:color w:themeColor="accent1" w:themeShade="bf" w:val="0F4761"/>
    </w:rPr>
  </w:style>
  <w:style w:type="character" w:styleId="Antrat6Diagrama" w:customStyle="1">
    <w:name w:val="Antraštė 6 Diagrama"/>
    <w:basedOn w:val="DefaultParagraphFont"/>
    <w:uiPriority w:val="9"/>
    <w:semiHidden/>
    <w:qFormat/>
    <w:rsid w:val="00fa32f1"/>
    <w:rPr>
      <w:rFonts w:eastAsia="" w:cs="" w:cstheme="majorBidi" w:eastAsiaTheme="majorEastAsia"/>
      <w:i/>
      <w:iCs/>
      <w:color w:themeColor="text1" w:themeTint="a6" w:val="595959"/>
    </w:rPr>
  </w:style>
  <w:style w:type="character" w:styleId="Antrat7Diagrama" w:customStyle="1">
    <w:name w:val="Antraštė 7 Diagrama"/>
    <w:basedOn w:val="DefaultParagraphFont"/>
    <w:uiPriority w:val="9"/>
    <w:semiHidden/>
    <w:qFormat/>
    <w:rsid w:val="00fa32f1"/>
    <w:rPr>
      <w:rFonts w:eastAsia="" w:cs="" w:cstheme="majorBidi" w:eastAsiaTheme="majorEastAsia"/>
      <w:color w:themeColor="text1" w:themeTint="a6" w:val="595959"/>
    </w:rPr>
  </w:style>
  <w:style w:type="character" w:styleId="Antrat8Diagrama" w:customStyle="1">
    <w:name w:val="Antraštė 8 Diagrama"/>
    <w:basedOn w:val="DefaultParagraphFont"/>
    <w:uiPriority w:val="9"/>
    <w:semiHidden/>
    <w:qFormat/>
    <w:rsid w:val="00fa32f1"/>
    <w:rPr>
      <w:rFonts w:eastAsia="" w:cs="" w:cstheme="majorBidi" w:eastAsiaTheme="majorEastAsia"/>
      <w:i/>
      <w:iCs/>
      <w:color w:themeColor="text1" w:themeTint="d8" w:val="272727"/>
    </w:rPr>
  </w:style>
  <w:style w:type="character" w:styleId="Antrat9Diagrama" w:customStyle="1">
    <w:name w:val="Antraštė 9 Diagrama"/>
    <w:basedOn w:val="DefaultParagraphFont"/>
    <w:uiPriority w:val="9"/>
    <w:semiHidden/>
    <w:qFormat/>
    <w:rsid w:val="00fa32f1"/>
    <w:rPr>
      <w:rFonts w:eastAsia="" w:cs="" w:cstheme="majorBidi" w:eastAsiaTheme="majorEastAsia"/>
      <w:color w:themeColor="text1" w:themeTint="d8" w:val="272727"/>
    </w:rPr>
  </w:style>
  <w:style w:type="character" w:styleId="PavadinimasDiagrama" w:customStyle="1">
    <w:name w:val="Pavadinimas Diagrama"/>
    <w:basedOn w:val="DefaultParagraphFont"/>
    <w:uiPriority w:val="10"/>
    <w:qFormat/>
    <w:rsid w:val="00fa32f1"/>
    <w:rPr>
      <w:rFonts w:ascii="Aptos Display" w:hAnsi="Aptos Display" w:eastAsia="" w:cs="" w:asciiTheme="majorHAnsi" w:cstheme="majorBidi" w:eastAsiaTheme="majorEastAsia" w:hAnsiTheme="majorHAnsi"/>
      <w:spacing w:val="-10"/>
      <w:kern w:val="2"/>
      <w:sz w:val="56"/>
      <w:szCs w:val="56"/>
    </w:rPr>
  </w:style>
  <w:style w:type="character" w:styleId="PaantratDiagrama" w:customStyle="1">
    <w:name w:val="Paantraštė Diagrama"/>
    <w:basedOn w:val="DefaultParagraphFont"/>
    <w:uiPriority w:val="11"/>
    <w:qFormat/>
    <w:rsid w:val="00fa32f1"/>
    <w:rPr>
      <w:rFonts w:eastAsia="" w:cs="" w:cstheme="majorBidi" w:eastAsiaTheme="majorEastAsia"/>
      <w:color w:themeColor="text1" w:themeTint="a6" w:val="595959"/>
      <w:spacing w:val="15"/>
      <w:sz w:val="28"/>
      <w:szCs w:val="28"/>
    </w:rPr>
  </w:style>
  <w:style w:type="character" w:styleId="CitataDiagrama" w:customStyle="1">
    <w:name w:val="Citata Diagrama"/>
    <w:basedOn w:val="DefaultParagraphFont"/>
    <w:link w:val="Quote"/>
    <w:uiPriority w:val="29"/>
    <w:qFormat/>
    <w:rsid w:val="00fa32f1"/>
    <w:rPr>
      <w:i/>
      <w:iCs/>
      <w:color w:themeColor="text1" w:themeTint="bf" w:val="404040"/>
    </w:rPr>
  </w:style>
  <w:style w:type="character" w:styleId="IntenseEmphasis">
    <w:name w:val="Intense Emphasis"/>
    <w:basedOn w:val="DefaultParagraphFont"/>
    <w:uiPriority w:val="21"/>
    <w:qFormat/>
    <w:rsid w:val="00fa32f1"/>
    <w:rPr>
      <w:i/>
      <w:iCs/>
      <w:color w:themeColor="accent1" w:themeShade="bf" w:val="0F4761"/>
    </w:rPr>
  </w:style>
  <w:style w:type="character" w:styleId="IskirtacitataDiagrama" w:customStyle="1">
    <w:name w:val="Išskirta citata Diagrama"/>
    <w:basedOn w:val="DefaultParagraphFont"/>
    <w:link w:val="IntenseQuote"/>
    <w:uiPriority w:val="30"/>
    <w:qFormat/>
    <w:rsid w:val="00fa32f1"/>
    <w:rPr>
      <w:i/>
      <w:iCs/>
      <w:color w:themeColor="accent1" w:themeShade="bf" w:val="0F4761"/>
    </w:rPr>
  </w:style>
  <w:style w:type="character" w:styleId="IntenseReference">
    <w:name w:val="Intense Reference"/>
    <w:basedOn w:val="DefaultParagraphFont"/>
    <w:uiPriority w:val="32"/>
    <w:qFormat/>
    <w:rsid w:val="00fa32f1"/>
    <w:rPr>
      <w:b/>
      <w:bCs/>
      <w:smallCaps/>
      <w:color w:themeColor="accent1" w:themeShade="bf" w:val="0F4761"/>
      <w:spacing w:val="5"/>
    </w:rPr>
  </w:style>
  <w:style w:type="character" w:styleId="Bodytext9" w:customStyle="1">
    <w:name w:val="Body text (9)_"/>
    <w:link w:val="Bodytext91"/>
    <w:qFormat/>
    <w:rsid w:val="00fa32f1"/>
    <w:rPr>
      <w:rFonts w:ascii="Times New Roman" w:hAnsi="Times New Roman" w:cs="Times New Roman"/>
      <w:b/>
      <w:bCs/>
      <w:sz w:val="23"/>
      <w:szCs w:val="23"/>
      <w:shd w:fill="FFFFFF" w:val="clear"/>
    </w:rPr>
  </w:style>
  <w:style w:type="character" w:styleId="SraopastraipaDiagrama" w:customStyle="1">
    <w:name w:val="Sąrašo pastraipa Diagrama"/>
    <w:basedOn w:val="DefaultParagraphFont"/>
    <w:link w:val="ListParagraph"/>
    <w:qFormat/>
    <w:locked/>
    <w:rsid w:val="00d91825"/>
    <w:rPr>
      <w:rFonts w:ascii="Arial Unicode MS" w:hAnsi="Arial Unicode MS" w:eastAsia="Arial Unicode MS" w:cs="Arial Unicode MS"/>
      <w:color w:val="000000"/>
      <w:kern w:val="0"/>
      <w:lang w:eastAsia="lt-LT"/>
      <w14:ligatures w14:val="none"/>
    </w:rPr>
  </w:style>
  <w:style w:type="character" w:styleId="AntratsDiagrama" w:customStyle="1">
    <w:name w:val="Antraštės Diagrama"/>
    <w:basedOn w:val="DefaultParagraphFont"/>
    <w:uiPriority w:val="99"/>
    <w:qFormat/>
    <w:rsid w:val="000021dc"/>
    <w:rPr>
      <w:rFonts w:ascii="Arial Unicode MS" w:hAnsi="Arial Unicode MS" w:eastAsia="Arial Unicode MS" w:cs="Arial Unicode MS"/>
      <w:color w:val="000000"/>
      <w:kern w:val="0"/>
      <w:lang w:eastAsia="lt-LT"/>
      <w14:ligatures w14:val="none"/>
    </w:rPr>
  </w:style>
  <w:style w:type="character" w:styleId="PoratDiagrama" w:customStyle="1">
    <w:name w:val="Poraštė Diagrama"/>
    <w:basedOn w:val="DefaultParagraphFont"/>
    <w:uiPriority w:val="99"/>
    <w:qFormat/>
    <w:rsid w:val="000021dc"/>
    <w:rPr>
      <w:rFonts w:ascii="Arial Unicode MS" w:hAnsi="Arial Unicode MS" w:eastAsia="Arial Unicode MS" w:cs="Arial Unicode MS"/>
      <w:color w:val="000000"/>
      <w:kern w:val="0"/>
      <w:lang w:eastAsia="lt-LT"/>
      <w14:ligatures w14:val="none"/>
    </w:rPr>
  </w:style>
  <w:style w:type="character" w:styleId="CommentReference">
    <w:name w:val="annotation reference"/>
    <w:basedOn w:val="DefaultParagraphFont"/>
    <w:uiPriority w:val="99"/>
    <w:semiHidden/>
    <w:unhideWhenUsed/>
    <w:qFormat/>
    <w:rsid w:val="000021dc"/>
    <w:rPr>
      <w:sz w:val="16"/>
      <w:szCs w:val="16"/>
    </w:rPr>
  </w:style>
  <w:style w:type="character" w:styleId="KomentarotekstasDiagrama" w:customStyle="1">
    <w:name w:val="Komentaro tekstas Diagrama"/>
    <w:basedOn w:val="DefaultParagraphFont"/>
    <w:uiPriority w:val="99"/>
    <w:qFormat/>
    <w:rsid w:val="000021dc"/>
    <w:rPr>
      <w:rFonts w:ascii="Arial Unicode MS" w:hAnsi="Arial Unicode MS" w:eastAsia="Arial Unicode MS" w:cs="Arial Unicode MS"/>
      <w:color w:val="000000"/>
      <w:kern w:val="0"/>
      <w:sz w:val="20"/>
      <w:szCs w:val="20"/>
      <w:lang w:eastAsia="lt-LT"/>
      <w14:ligatures w14:val="none"/>
    </w:rPr>
  </w:style>
  <w:style w:type="character" w:styleId="KomentarotemaDiagrama" w:customStyle="1">
    <w:name w:val="Komentaro tema Diagrama"/>
    <w:basedOn w:val="KomentarotekstasDiagrama"/>
    <w:link w:val="annotationsubject"/>
    <w:uiPriority w:val="99"/>
    <w:semiHidden/>
    <w:qFormat/>
    <w:rsid w:val="000021dc"/>
    <w:rPr>
      <w:rFonts w:ascii="Arial Unicode MS" w:hAnsi="Arial Unicode MS" w:eastAsia="Arial Unicode MS" w:cs="Arial Unicode MS"/>
      <w:b/>
      <w:bCs/>
      <w:color w:val="000000"/>
      <w:kern w:val="0"/>
      <w:sz w:val="20"/>
      <w:szCs w:val="20"/>
      <w:lang w:eastAsia="lt-LT"/>
      <w14:ligatures w14:val="none"/>
    </w:rPr>
  </w:style>
  <w:style w:type="character" w:styleId="fontstyle01" w:customStyle="1">
    <w:name w:val="fontstyle01"/>
    <w:basedOn w:val="DefaultParagraphFont"/>
    <w:qFormat/>
    <w:rsid w:val="006404e9"/>
    <w:rPr>
      <w:rFonts w:ascii="ArialMT" w:hAnsi="ArialMT"/>
      <w:b w:val="false"/>
      <w:bCs w:val="false"/>
      <w:i w:val="false"/>
      <w:iCs w:val="false"/>
      <w:color w:val="000000"/>
      <w:sz w:val="22"/>
      <w:szCs w:val="22"/>
    </w:rPr>
  </w:style>
  <w:style w:type="character" w:styleId="LineNumbering">
    <w:name w:val="Line Numbering"/>
    <w:qFormat/>
    <w:rPr/>
  </w:style>
  <w:style w:type="character" w:styleId="LineNumber">
    <w:name w:val="line number"/>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Title">
    <w:name w:val="Title"/>
    <w:basedOn w:val="Normal"/>
    <w:next w:val="Normal"/>
    <w:link w:val="PavadinimasDiagrama"/>
    <w:uiPriority w:val="10"/>
    <w:qFormat/>
    <w:rsid w:val="00fa32f1"/>
    <w:pPr>
      <w:spacing w:before="0" w:after="80"/>
      <w:contextualSpacing/>
    </w:pPr>
    <w:rPr>
      <w:rFonts w:ascii="Aptos Display" w:hAnsi="Aptos Display" w:eastAsia="" w:cs="" w:asciiTheme="majorHAnsi" w:cstheme="majorBidi" w:eastAsiaTheme="majorEastAsia" w:hAnsiTheme="majorHAnsi"/>
      <w:spacing w:val="-10"/>
      <w:kern w:val="2"/>
      <w:sz w:val="56"/>
      <w:szCs w:val="56"/>
    </w:rPr>
  </w:style>
  <w:style w:type="paragraph" w:styleId="Subtitle">
    <w:name w:val="Subtitle"/>
    <w:basedOn w:val="Normal"/>
    <w:next w:val="Normal"/>
    <w:link w:val="PaantratDiagrama"/>
    <w:uiPriority w:val="11"/>
    <w:qFormat/>
    <w:rsid w:val="00fa32f1"/>
    <w:pPr/>
    <w:rPr>
      <w:rFonts w:eastAsia="" w:cs="" w:cstheme="majorBidi" w:eastAsiaTheme="majorEastAsia"/>
      <w:color w:themeColor="text1" w:themeTint="a6" w:val="595959"/>
      <w:spacing w:val="15"/>
      <w:sz w:val="28"/>
      <w:szCs w:val="28"/>
    </w:rPr>
  </w:style>
  <w:style w:type="paragraph" w:styleId="Quote">
    <w:name w:val="Quote"/>
    <w:basedOn w:val="Normal"/>
    <w:next w:val="Normal"/>
    <w:link w:val="CitataDiagrama"/>
    <w:uiPriority w:val="29"/>
    <w:qFormat/>
    <w:rsid w:val="00fa32f1"/>
    <w:pPr>
      <w:spacing w:before="160" w:after="0"/>
      <w:jc w:val="center"/>
    </w:pPr>
    <w:rPr>
      <w:i/>
      <w:iCs/>
      <w:color w:themeColor="text1" w:themeTint="bf" w:val="404040"/>
    </w:rPr>
  </w:style>
  <w:style w:type="paragraph" w:styleId="ListParagraph">
    <w:name w:val="List Paragraph"/>
    <w:basedOn w:val="Normal"/>
    <w:link w:val="SraopastraipaDiagrama"/>
    <w:qFormat/>
    <w:rsid w:val="00fa32f1"/>
    <w:pPr>
      <w:spacing w:before="0" w:after="0"/>
      <w:ind w:left="720"/>
      <w:contextualSpacing/>
    </w:pPr>
    <w:rPr/>
  </w:style>
  <w:style w:type="paragraph" w:styleId="IntenseQuote">
    <w:name w:val="Intense Quote"/>
    <w:basedOn w:val="Normal"/>
    <w:next w:val="Normal"/>
    <w:link w:val="IskirtacitataDiagrama"/>
    <w:uiPriority w:val="30"/>
    <w:qFormat/>
    <w:rsid w:val="00fa32f1"/>
    <w:pPr>
      <w:pBdr>
        <w:top w:val="single" w:sz="4" w:space="10" w:color="0F4761" w:themeColor="accent1" w:themeShade="bf"/>
        <w:bottom w:val="single" w:sz="4" w:space="10" w:color="0F4761" w:themeColor="accent1" w:themeShade="bf"/>
      </w:pBdr>
      <w:spacing w:before="360" w:after="360"/>
      <w:ind w:left="864" w:right="864"/>
      <w:jc w:val="center"/>
    </w:pPr>
    <w:rPr>
      <w:i/>
      <w:iCs/>
      <w:color w:themeColor="accent1" w:themeShade="bf" w:val="0F4761"/>
    </w:rPr>
  </w:style>
  <w:style w:type="paragraph" w:styleId="Bodytext91" w:customStyle="1">
    <w:name w:val="Body text (9)"/>
    <w:basedOn w:val="Normal"/>
    <w:link w:val="Bodytext9"/>
    <w:qFormat/>
    <w:rsid w:val="00fa32f1"/>
    <w:pPr>
      <w:shd w:val="clear" w:color="auto" w:fill="FFFFFF"/>
      <w:spacing w:lineRule="exact" w:line="274"/>
    </w:pPr>
    <w:rPr>
      <w:rFonts w:ascii="Times New Roman" w:hAnsi="Times New Roman" w:eastAsia="Aptos" w:cs="Times New Roman" w:eastAsiaTheme="minorHAnsi"/>
      <w:b/>
      <w:bCs/>
      <w:color w:val="auto"/>
      <w:kern w:val="2"/>
      <w:sz w:val="23"/>
      <w:szCs w:val="23"/>
      <w:lang w:eastAsia="en-US"/>
      <w14:ligatures w14:val="standardContextual"/>
    </w:rPr>
  </w:style>
  <w:style w:type="paragraph" w:styleId="HeaderandFooter">
    <w:name w:val="Header and Footer"/>
    <w:basedOn w:val="Normal"/>
    <w:qFormat/>
    <w:pPr/>
    <w:rPr/>
  </w:style>
  <w:style w:type="paragraph" w:styleId="Header">
    <w:name w:val="header"/>
    <w:basedOn w:val="Normal"/>
    <w:link w:val="AntratsDiagrama"/>
    <w:uiPriority w:val="99"/>
    <w:unhideWhenUsed/>
    <w:rsid w:val="000021dc"/>
    <w:pPr>
      <w:tabs>
        <w:tab w:val="clear" w:pos="1296"/>
        <w:tab w:val="center" w:pos="4819" w:leader="none"/>
        <w:tab w:val="right" w:pos="9638" w:leader="none"/>
      </w:tabs>
    </w:pPr>
    <w:rPr/>
  </w:style>
  <w:style w:type="paragraph" w:styleId="Footer">
    <w:name w:val="footer"/>
    <w:basedOn w:val="Normal"/>
    <w:link w:val="PoratDiagrama"/>
    <w:uiPriority w:val="99"/>
    <w:unhideWhenUsed/>
    <w:rsid w:val="000021dc"/>
    <w:pPr>
      <w:tabs>
        <w:tab w:val="clear" w:pos="1296"/>
        <w:tab w:val="center" w:pos="4819" w:leader="none"/>
        <w:tab w:val="right" w:pos="9638" w:leader="none"/>
      </w:tabs>
    </w:pPr>
    <w:rPr/>
  </w:style>
  <w:style w:type="paragraph" w:styleId="CommentText">
    <w:name w:val="annotation text"/>
    <w:basedOn w:val="Normal"/>
    <w:link w:val="KomentarotekstasDiagrama"/>
    <w:uiPriority w:val="99"/>
    <w:unhideWhenUsed/>
    <w:rsid w:val="000021dc"/>
    <w:pPr/>
    <w:rPr>
      <w:sz w:val="20"/>
      <w:szCs w:val="20"/>
    </w:rPr>
  </w:style>
  <w:style w:type="paragraph" w:styleId="annotationsubject">
    <w:name w:val="annotation subject"/>
    <w:basedOn w:val="CommentText"/>
    <w:next w:val="CommentText"/>
    <w:link w:val="KomentarotemaDiagrama"/>
    <w:uiPriority w:val="99"/>
    <w:semiHidden/>
    <w:unhideWhenUsed/>
    <w:qFormat/>
    <w:rsid w:val="000021dc"/>
    <w:pPr/>
    <w:rPr>
      <w:b/>
      <w:bCs/>
    </w:rPr>
  </w:style>
  <w:style w:type="paragraph" w:styleId="Revision">
    <w:name w:val="Revision"/>
    <w:uiPriority w:val="99"/>
    <w:semiHidden/>
    <w:qFormat/>
    <w:rsid w:val="0096307b"/>
    <w:pPr>
      <w:widowControl/>
      <w:suppressAutoHyphens w:val="true"/>
      <w:bidi w:val="0"/>
      <w:spacing w:lineRule="auto" w:line="240" w:before="0" w:after="0"/>
      <w:jc w:val="left"/>
    </w:pPr>
    <w:rPr>
      <w:rFonts w:ascii="Arial Unicode MS" w:hAnsi="Arial Unicode MS" w:eastAsia="Arial Unicode MS" w:cs="Arial Unicode MS"/>
      <w:color w:val="000000"/>
      <w:kern w:val="0"/>
      <w:sz w:val="24"/>
      <w:szCs w:val="24"/>
      <w:lang w:val="lt-LT" w:eastAsia="lt-LT" w:bidi="ar-SA"/>
      <w14:ligatures w14:val="none"/>
    </w:rPr>
  </w:style>
  <w:style w:type="paragraph" w:styleId="Lentelsturinys">
    <w:name w:val="Lentelės turinys"/>
    <w:basedOn w:val="Normal"/>
    <w:qFormat/>
    <w:pPr>
      <w:widowControl w:val="false"/>
      <w:suppressLineNumbers/>
    </w:pPr>
    <w:rPr/>
  </w:style>
  <w:style w:type="paragraph" w:styleId="Lentelsantrat">
    <w:name w:val="Lentelės antraštė"/>
    <w:basedOn w:val="Lentelsturinys"/>
    <w:qFormat/>
    <w:pPr>
      <w:suppressLineNumbers/>
      <w:jc w:val="center"/>
    </w:pPr>
    <w:rPr>
      <w:b/>
      <w:bCs/>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rsid w:val="00fa32f1"/>
    <w:pPr>
      <w:spacing w:after="0" w:line="240" w:lineRule="auto"/>
    </w:pPr>
    <w:rPr>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12700" cap="flat" cmpd="sng" algn="ctr">
          <a:prstDash val="solid"/>
          <a:miter lim="800000"/>
        </a:ln>
        <a:ln w="19050" cap="flat" cmpd="sng" algn="ctr">
          <a:prstDash val="solid"/>
          <a:miter lim="800000"/>
        </a:ln>
        <a:ln w="2540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36</TotalTime>
  <Application>LibreOffice/24.8.0.3$Windows_X86_64 LibreOffice_project/0bdf1299c94fe897b119f97f3c613e9dca6be583</Application>
  <AppVersion>15.0000</AppVersion>
  <Pages>4</Pages>
  <Words>769</Words>
  <Characters>5341</Characters>
  <CharactersWithSpaces>6036</CharactersWithSpaces>
  <Paragraphs>82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2026-05-18T12:57:00Z</dcterms:created>
  <dc:creator>Justinas Jasinskas | VMU</dc:creator>
  <dc:description/>
  <dc:language>lt-LT</dc:language>
  <cp:lastModifiedBy/>
  <dcterms:modified xsi:type="dcterms:W3CDTF">2026-05-19T07:12:39Z</dcterms:modified>
  <cp:revision>8</cp:revision>
  <dc:subject/>
  <dc:title/>
</cp:coreProperties>
</file>

<file path=docProps/custom.xml><?xml version="1.0" encoding="utf-8"?>
<Properties xmlns="http://schemas.openxmlformats.org/officeDocument/2006/custom-properties" xmlns:vt="http://schemas.openxmlformats.org/officeDocument/2006/docPropsVTypes"/>
</file>